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15B6" w14:textId="77777777" w:rsidR="00D5218E" w:rsidRDefault="00D521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3991"/>
        <w:gridCol w:w="1945"/>
        <w:gridCol w:w="2492"/>
        <w:gridCol w:w="1816"/>
      </w:tblGrid>
      <w:tr w:rsidR="00CC79CA" w:rsidRPr="00392366" w14:paraId="3A7BED28" w14:textId="77777777" w:rsidTr="002268F5">
        <w:trPr>
          <w:cantSplit/>
          <w:trHeight w:val="525"/>
          <w:tblHeader/>
        </w:trPr>
        <w:tc>
          <w:tcPr>
            <w:tcW w:w="1045" w:type="pct"/>
            <w:shd w:val="clear" w:color="auto" w:fill="BFBFBF" w:themeFill="background1" w:themeFillShade="BF"/>
            <w:vAlign w:val="center"/>
          </w:tcPr>
          <w:p w14:paraId="617282F5" w14:textId="230D0D42" w:rsidR="00CC79CA" w:rsidRPr="00367394" w:rsidRDefault="00CC79CA" w:rsidP="002A16A7">
            <w:pPr>
              <w:spacing w:after="200" w:line="276" w:lineRule="auto"/>
              <w:rPr>
                <w:rFonts w:ascii="Helvetica" w:eastAsia="Helvetica" w:hAnsi="Helvetica" w:cs="Helvetica"/>
                <w:b/>
                <w:bCs/>
              </w:rPr>
            </w:pPr>
            <w:r w:rsidRPr="00367394">
              <w:rPr>
                <w:rStyle w:val="normaltextrun"/>
                <w:rFonts w:ascii="Calibri" w:hAnsi="Calibri" w:cs="Calibri"/>
                <w:b/>
                <w:bCs/>
              </w:rPr>
              <w:t>Impact – what will success look like?</w:t>
            </w:r>
            <w:r w:rsidRPr="00367394">
              <w:rPr>
                <w:rStyle w:val="eop"/>
                <w:rFonts w:ascii="Calibri" w:hAnsi="Calibri" w:cs="Calibri"/>
              </w:rPr>
              <w:t> </w:t>
            </w:r>
          </w:p>
        </w:tc>
        <w:tc>
          <w:tcPr>
            <w:tcW w:w="1541" w:type="pct"/>
            <w:shd w:val="clear" w:color="auto" w:fill="BFBFBF" w:themeFill="background1" w:themeFillShade="BF"/>
            <w:vAlign w:val="center"/>
          </w:tcPr>
          <w:p w14:paraId="38C81D44" w14:textId="27F6FF6B" w:rsidR="00CC79CA" w:rsidRPr="00367394" w:rsidRDefault="00CC79CA" w:rsidP="002A16A7">
            <w:pPr>
              <w:spacing w:after="200" w:line="276" w:lineRule="auto"/>
              <w:rPr>
                <w:rFonts w:ascii="Helvetica" w:eastAsia="Helvetica" w:hAnsi="Helvetica" w:cs="Helvetica"/>
              </w:rPr>
            </w:pPr>
            <w:r w:rsidRPr="00367394">
              <w:rPr>
                <w:rStyle w:val="normaltextrun"/>
                <w:rFonts w:ascii="Calibri" w:hAnsi="Calibri" w:cs="Calibri"/>
                <w:b/>
                <w:bCs/>
              </w:rPr>
              <w:t>Action – what we will do to achieve this</w:t>
            </w:r>
            <w:r w:rsidRPr="00367394">
              <w:rPr>
                <w:rStyle w:val="eop"/>
                <w:rFonts w:ascii="Calibri" w:hAnsi="Calibri" w:cs="Calibri"/>
              </w:rPr>
              <w:t> </w:t>
            </w:r>
          </w:p>
        </w:tc>
        <w:tc>
          <w:tcPr>
            <w:tcW w:w="751" w:type="pct"/>
            <w:shd w:val="clear" w:color="auto" w:fill="BFBFBF" w:themeFill="background1" w:themeFillShade="BF"/>
          </w:tcPr>
          <w:p w14:paraId="70178AD9" w14:textId="1FCE4F89" w:rsidR="00CC79CA" w:rsidRPr="00367394" w:rsidRDefault="00CC79CA" w:rsidP="002A16A7">
            <w:pPr>
              <w:spacing w:after="0" w:line="276" w:lineRule="auto"/>
              <w:jc w:val="center"/>
              <w:rPr>
                <w:rFonts w:ascii="Helvetica" w:eastAsia="Helvetica" w:hAnsi="Helvetica" w:cs="Helvetica"/>
                <w:b/>
                <w:bCs/>
              </w:rPr>
            </w:pPr>
            <w:r w:rsidRPr="00367394">
              <w:rPr>
                <w:rStyle w:val="normaltextrun"/>
                <w:rFonts w:ascii="Calibri" w:hAnsi="Calibri" w:cs="Calibri"/>
                <w:b/>
                <w:bCs/>
              </w:rPr>
              <w:t>Cross-Cutting Themes</w:t>
            </w:r>
            <w:r>
              <w:rPr>
                <w:rStyle w:val="FootnoteReference"/>
                <w:b/>
                <w:bCs/>
                <w:sz w:val="24"/>
                <w:szCs w:val="24"/>
              </w:rPr>
              <w:footnoteReference w:id="2"/>
            </w:r>
          </w:p>
        </w:tc>
        <w:tc>
          <w:tcPr>
            <w:tcW w:w="962" w:type="pct"/>
            <w:shd w:val="clear" w:color="auto" w:fill="BFBFBF" w:themeFill="background1" w:themeFillShade="BF"/>
            <w:vAlign w:val="center"/>
          </w:tcPr>
          <w:p w14:paraId="52369C2B" w14:textId="2E76F559" w:rsidR="00CC79CA" w:rsidRPr="00367394" w:rsidRDefault="00CC79CA" w:rsidP="002A16A7">
            <w:pPr>
              <w:spacing w:after="200" w:line="276" w:lineRule="auto"/>
              <w:rPr>
                <w:rFonts w:ascii="Helvetica" w:eastAsia="Helvetica" w:hAnsi="Helvetica" w:cs="Helvetica"/>
              </w:rPr>
            </w:pPr>
            <w:r w:rsidRPr="00367394">
              <w:rPr>
                <w:rStyle w:val="normaltextrun"/>
                <w:rFonts w:ascii="Calibri" w:hAnsi="Calibri" w:cs="Calibri"/>
                <w:b/>
                <w:bCs/>
              </w:rPr>
              <w:t>Lead</w:t>
            </w:r>
            <w:r w:rsidRPr="00367394">
              <w:rPr>
                <w:rStyle w:val="eop"/>
                <w:rFonts w:ascii="Calibri" w:hAnsi="Calibri" w:cs="Calibri"/>
              </w:rPr>
              <w:t> </w:t>
            </w:r>
          </w:p>
        </w:tc>
        <w:tc>
          <w:tcPr>
            <w:tcW w:w="701" w:type="pct"/>
            <w:shd w:val="clear" w:color="auto" w:fill="BFBFBF" w:themeFill="background1" w:themeFillShade="BF"/>
            <w:vAlign w:val="center"/>
          </w:tcPr>
          <w:p w14:paraId="141208D9" w14:textId="6F0701C7" w:rsidR="00CC79CA" w:rsidRPr="00367394" w:rsidRDefault="00CC79CA" w:rsidP="002A16A7">
            <w:pPr>
              <w:spacing w:after="200" w:line="276" w:lineRule="auto"/>
              <w:rPr>
                <w:rFonts w:ascii="Helvetica" w:eastAsia="Helvetica" w:hAnsi="Helvetica" w:cs="Helvetica"/>
              </w:rPr>
            </w:pPr>
            <w:r w:rsidRPr="00367394">
              <w:rPr>
                <w:rStyle w:val="normaltextrun"/>
                <w:rFonts w:ascii="Calibri" w:hAnsi="Calibri" w:cs="Calibri"/>
                <w:b/>
                <w:bCs/>
              </w:rPr>
              <w:t>Timeframe</w:t>
            </w:r>
            <w:r w:rsidRPr="00367394">
              <w:rPr>
                <w:rStyle w:val="eop"/>
                <w:rFonts w:ascii="Calibri" w:hAnsi="Calibri" w:cs="Calibri"/>
              </w:rPr>
              <w:t> </w:t>
            </w:r>
          </w:p>
        </w:tc>
      </w:tr>
      <w:tr w:rsidR="00CC79CA" w:rsidRPr="00392366" w14:paraId="6F44FA11" w14:textId="77777777" w:rsidTr="002268F5">
        <w:trPr>
          <w:cantSplit/>
          <w:trHeight w:val="300"/>
        </w:trPr>
        <w:tc>
          <w:tcPr>
            <w:tcW w:w="1045" w:type="pct"/>
            <w:vMerge w:val="restart"/>
            <w:shd w:val="clear" w:color="auto" w:fill="FFFFFF" w:themeFill="background1"/>
          </w:tcPr>
          <w:p w14:paraId="66F13E47" w14:textId="3ACE7D77" w:rsidR="00CC79CA" w:rsidRPr="00392366" w:rsidRDefault="00CC79CA" w:rsidP="00957C15">
            <w:pPr>
              <w:spacing w:after="0" w:line="240" w:lineRule="auto"/>
              <w:rPr>
                <w:rFonts w:ascii="Arial" w:eastAsia="Arial" w:hAnsi="Arial" w:cs="Arial"/>
                <w:sz w:val="20"/>
                <w:szCs w:val="20"/>
              </w:rPr>
            </w:pPr>
            <w:r w:rsidRPr="00392366">
              <w:rPr>
                <w:rFonts w:ascii="Arial" w:eastAsia="Arial" w:hAnsi="Arial" w:cs="Arial"/>
                <w:sz w:val="20"/>
                <w:szCs w:val="20"/>
              </w:rPr>
              <w:t xml:space="preserve">1. </w:t>
            </w:r>
            <w:r w:rsidRPr="00392366">
              <w:rPr>
                <w:rFonts w:ascii="Calibri" w:eastAsia="Calibri" w:hAnsi="Calibri" w:cs="Calibri"/>
                <w:sz w:val="20"/>
                <w:szCs w:val="20"/>
                <w:lang w:val="en-GB"/>
              </w:rPr>
              <w:t>Provide strategic oversight for the delivery of the MSCP Contextual Safeguarding Strategy and its coexistent multi-agency Action Plan, ensuring that a comprehensive, multi-agency approach to safeguarding children and young people from criminal and sexual exploitation, serious youth violence, gangs, peer on peer abuse, harmful sexual behaviour and other forms of harm occurring in contexts beyond the family home.</w:t>
            </w:r>
          </w:p>
        </w:tc>
        <w:tc>
          <w:tcPr>
            <w:tcW w:w="1541" w:type="pct"/>
            <w:shd w:val="clear" w:color="auto" w:fill="FFFFFF" w:themeFill="background1"/>
          </w:tcPr>
          <w:p w14:paraId="6899578A" w14:textId="4984EF92" w:rsidR="00CC79CA" w:rsidRPr="00392366" w:rsidRDefault="00CC79CA" w:rsidP="00957C15">
            <w:pPr>
              <w:spacing w:after="200" w:line="276" w:lineRule="auto"/>
              <w:rPr>
                <w:rFonts w:ascii="Calibri" w:eastAsia="Calibri" w:hAnsi="Calibri" w:cs="Calibri"/>
                <w:sz w:val="20"/>
                <w:szCs w:val="20"/>
              </w:rPr>
            </w:pPr>
            <w:r w:rsidRPr="00392366">
              <w:rPr>
                <w:rFonts w:eastAsiaTheme="minorEastAsia"/>
                <w:sz w:val="20"/>
                <w:szCs w:val="20"/>
              </w:rPr>
              <w:t xml:space="preserve">1.1 </w:t>
            </w:r>
            <w:r w:rsidRPr="00392366">
              <w:rPr>
                <w:rFonts w:ascii="Calibri" w:eastAsia="Calibri" w:hAnsi="Calibri" w:cs="Calibri"/>
                <w:sz w:val="20"/>
                <w:szCs w:val="20"/>
                <w:lang w:val="en-GB"/>
              </w:rPr>
              <w:t>Maintain oversight of all forms of adolescent exploitation reported locally through the Strategic MACE Panel to identify trends and any gaps in practice and ways of working to be addressed</w:t>
            </w:r>
          </w:p>
        </w:tc>
        <w:tc>
          <w:tcPr>
            <w:tcW w:w="751" w:type="pct"/>
            <w:shd w:val="clear" w:color="auto" w:fill="auto"/>
          </w:tcPr>
          <w:p w14:paraId="78E60A82" w14:textId="2C183521" w:rsidR="00CC79CA" w:rsidRPr="00392366" w:rsidRDefault="00CC79CA" w:rsidP="00957C15">
            <w:pPr>
              <w:spacing w:after="200" w:line="276" w:lineRule="auto"/>
              <w:rPr>
                <w:rFonts w:ascii="Helvetica" w:eastAsia="Helvetica" w:hAnsi="Helvetica" w:cs="Helvetica"/>
                <w:b/>
                <w:bCs/>
                <w:sz w:val="20"/>
                <w:szCs w:val="20"/>
              </w:rPr>
            </w:pPr>
          </w:p>
        </w:tc>
        <w:tc>
          <w:tcPr>
            <w:tcW w:w="962" w:type="pct"/>
            <w:shd w:val="clear" w:color="auto" w:fill="FFFFFF" w:themeFill="background1"/>
          </w:tcPr>
          <w:p w14:paraId="523D670C" w14:textId="77777777" w:rsidR="00CC79CA" w:rsidRPr="00392366" w:rsidRDefault="00CC79CA" w:rsidP="00957C15">
            <w:pPr>
              <w:spacing w:after="200" w:line="276" w:lineRule="auto"/>
              <w:rPr>
                <w:rFonts w:ascii="Calibri" w:eastAsia="Calibri" w:hAnsi="Calibri" w:cs="Calibri"/>
                <w:sz w:val="20"/>
                <w:szCs w:val="20"/>
              </w:rPr>
            </w:pPr>
            <w:r w:rsidRPr="00392366">
              <w:rPr>
                <w:rFonts w:ascii="Calibri" w:eastAsia="Calibri" w:hAnsi="Calibri" w:cs="Calibri"/>
                <w:sz w:val="20"/>
                <w:szCs w:val="20"/>
              </w:rPr>
              <w:t>Michelle Waldron /</w:t>
            </w:r>
          </w:p>
          <w:p w14:paraId="699E30D3" w14:textId="64B74113" w:rsidR="00CC79CA" w:rsidRPr="00392366" w:rsidRDefault="00CC79CA" w:rsidP="00957C15">
            <w:pPr>
              <w:spacing w:after="200" w:line="276" w:lineRule="auto"/>
              <w:rPr>
                <w:rFonts w:ascii="Calibri" w:eastAsia="Calibri" w:hAnsi="Calibri" w:cs="Calibri"/>
                <w:sz w:val="20"/>
                <w:szCs w:val="20"/>
              </w:rPr>
            </w:pPr>
            <w:r w:rsidRPr="00392366">
              <w:rPr>
                <w:rFonts w:ascii="Calibri" w:eastAsia="Calibri" w:hAnsi="Calibri" w:cs="Calibri"/>
                <w:sz w:val="20"/>
                <w:szCs w:val="20"/>
              </w:rPr>
              <w:t>Pete Harvey</w:t>
            </w:r>
          </w:p>
        </w:tc>
        <w:tc>
          <w:tcPr>
            <w:tcW w:w="701" w:type="pct"/>
            <w:shd w:val="clear" w:color="auto" w:fill="FFFFFF" w:themeFill="background1"/>
          </w:tcPr>
          <w:p w14:paraId="74C3EB57" w14:textId="3EE317C9" w:rsidR="00CC79CA" w:rsidRPr="00392366" w:rsidRDefault="00CC79CA" w:rsidP="00957C15">
            <w:pPr>
              <w:spacing w:after="200" w:line="276" w:lineRule="auto"/>
              <w:rPr>
                <w:rFonts w:ascii="Calibri" w:eastAsia="Calibri" w:hAnsi="Calibri" w:cs="Calibri"/>
                <w:sz w:val="20"/>
                <w:szCs w:val="20"/>
              </w:rPr>
            </w:pPr>
            <w:r w:rsidRPr="00392366">
              <w:rPr>
                <w:rFonts w:ascii="Calibri" w:eastAsia="Calibri" w:hAnsi="Calibri" w:cs="Calibri"/>
                <w:sz w:val="20"/>
                <w:szCs w:val="20"/>
              </w:rPr>
              <w:t>Quarterly</w:t>
            </w:r>
          </w:p>
        </w:tc>
      </w:tr>
      <w:tr w:rsidR="00CC79CA" w:rsidRPr="00392366" w14:paraId="743ACA69" w14:textId="77777777" w:rsidTr="002268F5">
        <w:trPr>
          <w:cantSplit/>
          <w:trHeight w:val="300"/>
        </w:trPr>
        <w:tc>
          <w:tcPr>
            <w:tcW w:w="1045" w:type="pct"/>
            <w:vMerge/>
          </w:tcPr>
          <w:p w14:paraId="12A9EA9E" w14:textId="77777777" w:rsidR="00CC79CA" w:rsidRPr="00392366" w:rsidRDefault="00CC79CA" w:rsidP="0098564C">
            <w:pPr>
              <w:spacing w:after="0" w:line="240" w:lineRule="auto"/>
              <w:rPr>
                <w:rFonts w:ascii="Arial" w:eastAsia="Arial" w:hAnsi="Arial" w:cs="Arial"/>
                <w:sz w:val="20"/>
                <w:szCs w:val="20"/>
              </w:rPr>
            </w:pPr>
          </w:p>
        </w:tc>
        <w:tc>
          <w:tcPr>
            <w:tcW w:w="1541" w:type="pct"/>
            <w:shd w:val="clear" w:color="auto" w:fill="FFFFFF" w:themeFill="background1"/>
          </w:tcPr>
          <w:p w14:paraId="2B003F66" w14:textId="77777777" w:rsidR="00CC79CA" w:rsidRPr="00392366" w:rsidRDefault="00CC79CA" w:rsidP="002E7141">
            <w:pPr>
              <w:spacing w:after="200" w:line="276" w:lineRule="auto"/>
              <w:rPr>
                <w:rFonts w:ascii="Calibri" w:eastAsia="Calibri" w:hAnsi="Calibri" w:cs="Calibri"/>
                <w:sz w:val="20"/>
                <w:szCs w:val="20"/>
              </w:rPr>
            </w:pPr>
            <w:r w:rsidRPr="00392366">
              <w:rPr>
                <w:rFonts w:ascii="Calibri" w:eastAsia="Calibri" w:hAnsi="Calibri" w:cs="Calibri"/>
                <w:sz w:val="20"/>
                <w:szCs w:val="20"/>
                <w:lang w:val="en-GB"/>
              </w:rPr>
              <w:t xml:space="preserve">1.2 Sub-group to receive the following: </w:t>
            </w:r>
          </w:p>
          <w:p w14:paraId="438CFDE0" w14:textId="77777777" w:rsidR="00CC79CA" w:rsidRPr="00392366" w:rsidRDefault="00CC79CA" w:rsidP="002E7141">
            <w:pPr>
              <w:pStyle w:val="ListParagraph"/>
              <w:numPr>
                <w:ilvl w:val="0"/>
                <w:numId w:val="9"/>
              </w:numPr>
              <w:spacing w:after="200" w:line="276" w:lineRule="auto"/>
              <w:rPr>
                <w:rFonts w:ascii="Calibri" w:eastAsia="Calibri" w:hAnsi="Calibri" w:cs="Calibri"/>
                <w:sz w:val="20"/>
                <w:szCs w:val="20"/>
              </w:rPr>
            </w:pPr>
            <w:r w:rsidRPr="00392366">
              <w:rPr>
                <w:rFonts w:ascii="Calibri" w:eastAsia="Calibri" w:hAnsi="Calibri" w:cs="Calibri"/>
                <w:sz w:val="20"/>
                <w:szCs w:val="20"/>
              </w:rPr>
              <w:t xml:space="preserve">Annual CME report </w:t>
            </w:r>
          </w:p>
          <w:p w14:paraId="12F461B4" w14:textId="77777777" w:rsidR="00CC79CA" w:rsidRPr="00392366" w:rsidRDefault="00CC79CA" w:rsidP="002E7141">
            <w:pPr>
              <w:pStyle w:val="ListParagraph"/>
              <w:numPr>
                <w:ilvl w:val="0"/>
                <w:numId w:val="9"/>
              </w:numPr>
              <w:spacing w:after="200" w:line="276" w:lineRule="auto"/>
              <w:rPr>
                <w:rFonts w:ascii="Calibri" w:eastAsia="Calibri" w:hAnsi="Calibri" w:cs="Calibri"/>
                <w:sz w:val="20"/>
                <w:szCs w:val="20"/>
              </w:rPr>
            </w:pPr>
            <w:r w:rsidRPr="00392366">
              <w:rPr>
                <w:rFonts w:ascii="Calibri" w:eastAsia="Calibri" w:hAnsi="Calibri" w:cs="Calibri"/>
                <w:sz w:val="20"/>
                <w:szCs w:val="20"/>
              </w:rPr>
              <w:t xml:space="preserve">Annual contextual safeguarding report </w:t>
            </w:r>
          </w:p>
          <w:p w14:paraId="73AF5B14" w14:textId="77777777" w:rsidR="00CC79CA" w:rsidRPr="00392366" w:rsidRDefault="00CC79CA" w:rsidP="002E7141">
            <w:pPr>
              <w:pStyle w:val="ListParagraph"/>
              <w:numPr>
                <w:ilvl w:val="0"/>
                <w:numId w:val="9"/>
              </w:numPr>
              <w:spacing w:after="200" w:line="276" w:lineRule="auto"/>
              <w:rPr>
                <w:rFonts w:eastAsiaTheme="minorEastAsia"/>
                <w:sz w:val="20"/>
                <w:szCs w:val="20"/>
              </w:rPr>
            </w:pPr>
            <w:r w:rsidRPr="00392366">
              <w:rPr>
                <w:rFonts w:ascii="Calibri" w:eastAsia="Calibri" w:hAnsi="Calibri" w:cs="Calibri"/>
                <w:sz w:val="20"/>
                <w:szCs w:val="20"/>
              </w:rPr>
              <w:t xml:space="preserve">Risk and Resilience Service Annual Report </w:t>
            </w:r>
          </w:p>
          <w:p w14:paraId="77C5FD96" w14:textId="34C12369" w:rsidR="00CC79CA" w:rsidRPr="00392366" w:rsidRDefault="00CC79CA" w:rsidP="002E7141">
            <w:pPr>
              <w:pStyle w:val="ListParagraph"/>
              <w:numPr>
                <w:ilvl w:val="0"/>
                <w:numId w:val="9"/>
              </w:numPr>
              <w:spacing w:after="200" w:line="276" w:lineRule="auto"/>
              <w:rPr>
                <w:rFonts w:eastAsiaTheme="minorEastAsia"/>
                <w:sz w:val="20"/>
                <w:szCs w:val="20"/>
              </w:rPr>
            </w:pPr>
            <w:r w:rsidRPr="00392366">
              <w:rPr>
                <w:rFonts w:ascii="Calibri" w:eastAsia="Calibri" w:hAnsi="Calibri" w:cs="Calibri"/>
                <w:sz w:val="20"/>
                <w:szCs w:val="20"/>
              </w:rPr>
              <w:t>Health Economy Annual contextual safeguarding report</w:t>
            </w:r>
          </w:p>
          <w:p w14:paraId="1B9A57A3" w14:textId="3C8E8EBA" w:rsidR="00CC79CA" w:rsidRPr="00392366" w:rsidRDefault="00CC79CA" w:rsidP="02EC072E">
            <w:pPr>
              <w:pStyle w:val="ListParagraph"/>
              <w:numPr>
                <w:ilvl w:val="0"/>
                <w:numId w:val="9"/>
              </w:numPr>
              <w:spacing w:after="200" w:line="276" w:lineRule="auto"/>
              <w:rPr>
                <w:sz w:val="20"/>
                <w:szCs w:val="20"/>
              </w:rPr>
            </w:pPr>
            <w:r w:rsidRPr="00392366">
              <w:rPr>
                <w:rFonts w:ascii="Calibri" w:eastAsiaTheme="minorEastAsia" w:hAnsi="Calibri" w:cs="Calibri"/>
                <w:sz w:val="20"/>
                <w:szCs w:val="20"/>
              </w:rPr>
              <w:t>Substance Misuse sub-group Updates (TBC)</w:t>
            </w:r>
          </w:p>
        </w:tc>
        <w:tc>
          <w:tcPr>
            <w:tcW w:w="751" w:type="pct"/>
            <w:shd w:val="clear" w:color="auto" w:fill="auto"/>
          </w:tcPr>
          <w:p w14:paraId="0B20D073" w14:textId="77777777" w:rsidR="00CC79CA" w:rsidRPr="00392366" w:rsidRDefault="00CC79CA" w:rsidP="00017B69">
            <w:pPr>
              <w:spacing w:after="200" w:line="276" w:lineRule="auto"/>
              <w:rPr>
                <w:rFonts w:ascii="Helvetica" w:eastAsia="Helvetica" w:hAnsi="Helvetica" w:cs="Helvetica"/>
                <w:b/>
                <w:bCs/>
                <w:sz w:val="20"/>
                <w:szCs w:val="20"/>
              </w:rPr>
            </w:pPr>
          </w:p>
        </w:tc>
        <w:tc>
          <w:tcPr>
            <w:tcW w:w="962" w:type="pct"/>
            <w:shd w:val="clear" w:color="auto" w:fill="FFFFFF" w:themeFill="background1"/>
          </w:tcPr>
          <w:p w14:paraId="0B9A3EF7" w14:textId="77777777" w:rsidR="00CC79CA" w:rsidRPr="002268F5" w:rsidRDefault="00CC79CA" w:rsidP="002268F5">
            <w:pPr>
              <w:spacing w:after="200" w:line="276" w:lineRule="auto"/>
              <w:rPr>
                <w:rFonts w:ascii="Calibri" w:eastAsia="Calibri" w:hAnsi="Calibri" w:cs="Calibri"/>
                <w:sz w:val="20"/>
                <w:szCs w:val="20"/>
              </w:rPr>
            </w:pPr>
          </w:p>
          <w:p w14:paraId="31949912" w14:textId="5F2471C8" w:rsidR="00CC79CA" w:rsidRDefault="00CC79CA" w:rsidP="002E7141">
            <w:pPr>
              <w:pStyle w:val="ListParagraph"/>
              <w:numPr>
                <w:ilvl w:val="0"/>
                <w:numId w:val="10"/>
              </w:numPr>
              <w:spacing w:after="200" w:line="276" w:lineRule="auto"/>
              <w:rPr>
                <w:rFonts w:ascii="Calibri" w:eastAsia="Calibri" w:hAnsi="Calibri" w:cs="Calibri"/>
                <w:sz w:val="20"/>
                <w:szCs w:val="20"/>
              </w:rPr>
            </w:pPr>
            <w:r>
              <w:rPr>
                <w:rFonts w:ascii="Calibri" w:eastAsia="Calibri" w:hAnsi="Calibri" w:cs="Calibri"/>
                <w:sz w:val="20"/>
                <w:szCs w:val="20"/>
              </w:rPr>
              <w:t>Keith Shipman</w:t>
            </w:r>
            <w:r w:rsidRPr="00392366">
              <w:rPr>
                <w:rFonts w:ascii="Calibri" w:eastAsia="Calibri" w:hAnsi="Calibri" w:cs="Calibri"/>
                <w:sz w:val="20"/>
                <w:szCs w:val="20"/>
              </w:rPr>
              <w:t xml:space="preserve"> </w:t>
            </w:r>
          </w:p>
          <w:p w14:paraId="12619B1F" w14:textId="400F9A05" w:rsidR="00CC79CA" w:rsidRPr="00392366" w:rsidRDefault="00CC79CA" w:rsidP="002E7141">
            <w:pPr>
              <w:pStyle w:val="ListParagraph"/>
              <w:numPr>
                <w:ilvl w:val="0"/>
                <w:numId w:val="10"/>
              </w:numPr>
              <w:spacing w:after="200" w:line="276" w:lineRule="auto"/>
              <w:rPr>
                <w:rFonts w:ascii="Calibri" w:eastAsia="Calibri" w:hAnsi="Calibri" w:cs="Calibri"/>
                <w:sz w:val="20"/>
                <w:szCs w:val="20"/>
              </w:rPr>
            </w:pPr>
            <w:r w:rsidRPr="00392366">
              <w:rPr>
                <w:rFonts w:ascii="Calibri" w:eastAsia="Calibri" w:hAnsi="Calibri" w:cs="Calibri"/>
                <w:sz w:val="20"/>
                <w:szCs w:val="20"/>
              </w:rPr>
              <w:t xml:space="preserve">Service Manager - </w:t>
            </w:r>
            <w:r>
              <w:rPr>
                <w:rFonts w:ascii="Calibri" w:eastAsia="Calibri" w:hAnsi="Calibri" w:cs="Calibri"/>
                <w:sz w:val="20"/>
                <w:szCs w:val="20"/>
              </w:rPr>
              <w:t>CSC</w:t>
            </w:r>
            <w:r w:rsidRPr="00392366">
              <w:rPr>
                <w:rFonts w:ascii="Calibri" w:eastAsia="Calibri" w:hAnsi="Calibri" w:cs="Calibri"/>
                <w:sz w:val="20"/>
                <w:szCs w:val="20"/>
              </w:rPr>
              <w:t xml:space="preserve"> &amp; Youth Inclusion </w:t>
            </w:r>
          </w:p>
          <w:p w14:paraId="033F851B" w14:textId="280F0447" w:rsidR="00CC79CA" w:rsidRPr="00392366" w:rsidRDefault="00CC79CA" w:rsidP="002E7141">
            <w:pPr>
              <w:pStyle w:val="ListParagraph"/>
              <w:numPr>
                <w:ilvl w:val="0"/>
                <w:numId w:val="10"/>
              </w:numPr>
              <w:spacing w:after="200" w:line="276" w:lineRule="auto"/>
              <w:rPr>
                <w:rFonts w:ascii="Calibri" w:eastAsia="Calibri" w:hAnsi="Calibri" w:cs="Calibri"/>
                <w:sz w:val="20"/>
                <w:szCs w:val="20"/>
              </w:rPr>
            </w:pPr>
            <w:r>
              <w:rPr>
                <w:rFonts w:ascii="Calibri" w:eastAsia="Calibri" w:hAnsi="Calibri" w:cs="Calibri"/>
                <w:sz w:val="20"/>
                <w:szCs w:val="20"/>
              </w:rPr>
              <w:t>Kelly Anderson</w:t>
            </w:r>
          </w:p>
          <w:p w14:paraId="02E69BFB" w14:textId="4057C297" w:rsidR="00CC79CA" w:rsidRPr="00392366" w:rsidRDefault="00CC79CA" w:rsidP="008248B2">
            <w:pPr>
              <w:pStyle w:val="ListParagraph"/>
              <w:numPr>
                <w:ilvl w:val="0"/>
                <w:numId w:val="10"/>
              </w:numPr>
              <w:spacing w:after="200" w:line="276" w:lineRule="auto"/>
              <w:rPr>
                <w:rFonts w:ascii="Calibri" w:eastAsia="Calibri" w:hAnsi="Calibri" w:cs="Calibri"/>
                <w:sz w:val="20"/>
                <w:szCs w:val="20"/>
              </w:rPr>
            </w:pPr>
            <w:r>
              <w:rPr>
                <w:rFonts w:ascii="Calibri" w:eastAsia="Calibri" w:hAnsi="Calibri" w:cs="Calibri"/>
                <w:sz w:val="20"/>
                <w:szCs w:val="20"/>
                <w:lang w:val="en-GB"/>
              </w:rPr>
              <w:t xml:space="preserve">Janet Edwards/Anne </w:t>
            </w:r>
            <w:proofErr w:type="spellStart"/>
            <w:r>
              <w:rPr>
                <w:rFonts w:ascii="Calibri" w:eastAsia="Calibri" w:hAnsi="Calibri" w:cs="Calibri"/>
                <w:sz w:val="20"/>
                <w:szCs w:val="20"/>
                <w:lang w:val="en-GB"/>
              </w:rPr>
              <w:t>Akamo</w:t>
            </w:r>
            <w:proofErr w:type="spellEnd"/>
          </w:p>
          <w:p w14:paraId="04E98327" w14:textId="72740C97" w:rsidR="00CC79CA" w:rsidRPr="00392366" w:rsidRDefault="00CC79CA" w:rsidP="0010160F">
            <w:pPr>
              <w:pStyle w:val="ListParagraph"/>
              <w:numPr>
                <w:ilvl w:val="0"/>
                <w:numId w:val="10"/>
              </w:numPr>
              <w:spacing w:after="200" w:line="276" w:lineRule="auto"/>
              <w:rPr>
                <w:rFonts w:ascii="Calibri" w:eastAsia="Calibri" w:hAnsi="Calibri" w:cs="Calibri"/>
                <w:sz w:val="20"/>
                <w:szCs w:val="20"/>
              </w:rPr>
            </w:pPr>
            <w:r>
              <w:rPr>
                <w:rFonts w:ascii="Calibri" w:eastAsia="Calibri" w:hAnsi="Calibri" w:cs="Calibri"/>
                <w:sz w:val="20"/>
                <w:szCs w:val="20"/>
              </w:rPr>
              <w:t>Keith Shipman</w:t>
            </w:r>
          </w:p>
        </w:tc>
        <w:tc>
          <w:tcPr>
            <w:tcW w:w="701" w:type="pct"/>
            <w:shd w:val="clear" w:color="auto" w:fill="FFFFFF" w:themeFill="background1"/>
          </w:tcPr>
          <w:p w14:paraId="61E82A60" w14:textId="4C3356A6" w:rsidR="00CC79CA" w:rsidRDefault="00CC79CA" w:rsidP="14B52631">
            <w:pPr>
              <w:spacing w:after="200" w:line="276" w:lineRule="auto"/>
              <w:rPr>
                <w:rFonts w:ascii="Calibri" w:eastAsia="Calibri" w:hAnsi="Calibri" w:cs="Calibri"/>
                <w:sz w:val="20"/>
                <w:szCs w:val="20"/>
              </w:rPr>
            </w:pPr>
            <w:r w:rsidRPr="14B52631">
              <w:rPr>
                <w:rFonts w:ascii="Calibri" w:eastAsia="Calibri" w:hAnsi="Calibri" w:cs="Calibri"/>
                <w:sz w:val="20"/>
                <w:szCs w:val="20"/>
              </w:rPr>
              <w:t>Proposed schedule:</w:t>
            </w:r>
          </w:p>
          <w:p w14:paraId="03A7543D" w14:textId="30DE670F" w:rsidR="00CC79CA" w:rsidRPr="00392366" w:rsidRDefault="00CC79CA">
            <w:pPr>
              <w:pStyle w:val="ListParagraph"/>
              <w:numPr>
                <w:ilvl w:val="0"/>
                <w:numId w:val="11"/>
              </w:numPr>
              <w:spacing w:after="200" w:line="276" w:lineRule="auto"/>
              <w:rPr>
                <w:rFonts w:ascii="Calibri" w:eastAsia="Calibri" w:hAnsi="Calibri" w:cs="Calibri"/>
                <w:sz w:val="20"/>
                <w:szCs w:val="20"/>
              </w:rPr>
            </w:pPr>
            <w:r>
              <w:rPr>
                <w:rFonts w:ascii="Calibri" w:eastAsia="Calibri" w:hAnsi="Calibri" w:cs="Calibri"/>
                <w:sz w:val="20"/>
                <w:szCs w:val="20"/>
              </w:rPr>
              <w:t>Autumn 2023</w:t>
            </w:r>
          </w:p>
          <w:p w14:paraId="1CF237A0" w14:textId="7E0084B8" w:rsidR="00CC79CA" w:rsidRPr="00532208" w:rsidRDefault="00CC79CA" w:rsidP="00532208">
            <w:pPr>
              <w:pStyle w:val="ListParagraph"/>
              <w:numPr>
                <w:ilvl w:val="0"/>
                <w:numId w:val="11"/>
              </w:numPr>
              <w:spacing w:after="200" w:line="276" w:lineRule="auto"/>
              <w:rPr>
                <w:rFonts w:ascii="Calibri" w:eastAsia="Calibri" w:hAnsi="Calibri" w:cs="Calibri"/>
                <w:sz w:val="20"/>
                <w:szCs w:val="20"/>
              </w:rPr>
            </w:pPr>
            <w:r w:rsidRPr="00392366">
              <w:rPr>
                <w:rFonts w:ascii="Calibri" w:eastAsia="Calibri" w:hAnsi="Calibri" w:cs="Calibri"/>
                <w:sz w:val="20"/>
                <w:szCs w:val="20"/>
              </w:rPr>
              <w:t>TBC</w:t>
            </w:r>
          </w:p>
          <w:p w14:paraId="3C1113D5" w14:textId="1455FA1A" w:rsidR="00CC79CA" w:rsidRPr="00392366" w:rsidRDefault="00CC79CA">
            <w:pPr>
              <w:pStyle w:val="ListParagraph"/>
              <w:numPr>
                <w:ilvl w:val="0"/>
                <w:numId w:val="11"/>
              </w:numPr>
              <w:spacing w:after="200" w:line="276" w:lineRule="auto"/>
              <w:rPr>
                <w:rFonts w:ascii="Calibri" w:eastAsia="Calibri" w:hAnsi="Calibri" w:cs="Calibri"/>
                <w:sz w:val="20"/>
                <w:szCs w:val="20"/>
              </w:rPr>
            </w:pPr>
            <w:r w:rsidRPr="00392366">
              <w:rPr>
                <w:rFonts w:ascii="Calibri" w:eastAsia="Calibri" w:hAnsi="Calibri" w:cs="Calibri"/>
                <w:sz w:val="20"/>
                <w:szCs w:val="20"/>
              </w:rPr>
              <w:t>September</w:t>
            </w:r>
            <w:r>
              <w:rPr>
                <w:rFonts w:ascii="Calibri" w:eastAsia="Calibri" w:hAnsi="Calibri" w:cs="Calibri"/>
                <w:sz w:val="20"/>
                <w:szCs w:val="20"/>
              </w:rPr>
              <w:t xml:space="preserve"> 2023</w:t>
            </w:r>
          </w:p>
          <w:p w14:paraId="3A0CE37A" w14:textId="77777777" w:rsidR="00CC79CA" w:rsidRPr="00392366" w:rsidRDefault="00CC79CA" w:rsidP="02EC072E">
            <w:pPr>
              <w:pStyle w:val="ListParagraph"/>
              <w:numPr>
                <w:ilvl w:val="0"/>
                <w:numId w:val="11"/>
              </w:numPr>
              <w:spacing w:after="200" w:line="276" w:lineRule="auto"/>
              <w:rPr>
                <w:sz w:val="20"/>
                <w:szCs w:val="20"/>
              </w:rPr>
            </w:pPr>
            <w:r w:rsidRPr="00392366">
              <w:rPr>
                <w:rFonts w:ascii="Calibri" w:eastAsia="Calibri" w:hAnsi="Calibri" w:cs="Calibri"/>
                <w:sz w:val="20"/>
                <w:szCs w:val="20"/>
              </w:rPr>
              <w:t>TBC</w:t>
            </w:r>
          </w:p>
          <w:p w14:paraId="0D592B90" w14:textId="0AE391FB" w:rsidR="00CC79CA" w:rsidRPr="00392366" w:rsidRDefault="00CC79CA" w:rsidP="02EC072E">
            <w:pPr>
              <w:pStyle w:val="ListParagraph"/>
              <w:numPr>
                <w:ilvl w:val="0"/>
                <w:numId w:val="11"/>
              </w:numPr>
              <w:spacing w:after="200" w:line="276" w:lineRule="auto"/>
              <w:rPr>
                <w:sz w:val="20"/>
                <w:szCs w:val="20"/>
              </w:rPr>
            </w:pPr>
            <w:r w:rsidRPr="00392366">
              <w:rPr>
                <w:sz w:val="20"/>
                <w:szCs w:val="20"/>
              </w:rPr>
              <w:t>TBC</w:t>
            </w:r>
          </w:p>
        </w:tc>
      </w:tr>
      <w:tr w:rsidR="00CC79CA" w:rsidRPr="00392366" w14:paraId="590BF20F" w14:textId="77777777" w:rsidTr="002268F5">
        <w:trPr>
          <w:cantSplit/>
          <w:trHeight w:val="300"/>
        </w:trPr>
        <w:tc>
          <w:tcPr>
            <w:tcW w:w="1045" w:type="pct"/>
            <w:vMerge/>
          </w:tcPr>
          <w:p w14:paraId="323BC6F9" w14:textId="77777777" w:rsidR="00CC79CA" w:rsidRPr="00392366" w:rsidRDefault="00CC79CA" w:rsidP="00C44B3D">
            <w:pPr>
              <w:spacing w:after="0" w:line="240" w:lineRule="auto"/>
              <w:rPr>
                <w:rFonts w:ascii="Arial" w:eastAsia="Arial" w:hAnsi="Arial" w:cs="Arial"/>
                <w:sz w:val="20"/>
                <w:szCs w:val="20"/>
              </w:rPr>
            </w:pPr>
          </w:p>
        </w:tc>
        <w:tc>
          <w:tcPr>
            <w:tcW w:w="1541" w:type="pct"/>
            <w:shd w:val="clear" w:color="auto" w:fill="FFFFFF" w:themeFill="background1"/>
          </w:tcPr>
          <w:p w14:paraId="3A4D1633" w14:textId="44AAC415" w:rsidR="00CC79CA" w:rsidRPr="00392366" w:rsidRDefault="00CC79CA" w:rsidP="00C44B3D">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1.3 Review &amp; refresh partnership’s Contextual Safeguarding Strategy &amp; associated action plans, to include findings from relevant rapid reviews and LCSPRs</w:t>
            </w:r>
          </w:p>
        </w:tc>
        <w:tc>
          <w:tcPr>
            <w:tcW w:w="751" w:type="pct"/>
            <w:shd w:val="clear" w:color="auto" w:fill="auto"/>
          </w:tcPr>
          <w:p w14:paraId="3A5970E7" w14:textId="77777777" w:rsidR="00CC79CA" w:rsidRPr="00392366" w:rsidRDefault="00CC79CA" w:rsidP="00C44B3D">
            <w:pPr>
              <w:spacing w:after="200" w:line="276" w:lineRule="auto"/>
              <w:rPr>
                <w:rFonts w:ascii="Helvetica" w:eastAsia="Helvetica" w:hAnsi="Helvetica" w:cs="Helvetica"/>
                <w:b/>
                <w:bCs/>
                <w:sz w:val="20"/>
                <w:szCs w:val="20"/>
              </w:rPr>
            </w:pPr>
          </w:p>
        </w:tc>
        <w:tc>
          <w:tcPr>
            <w:tcW w:w="962" w:type="pct"/>
            <w:shd w:val="clear" w:color="auto" w:fill="FFFFFF" w:themeFill="background1"/>
          </w:tcPr>
          <w:p w14:paraId="144D279C" w14:textId="706055B2" w:rsidR="00CC79CA" w:rsidRPr="00EA7045" w:rsidRDefault="00CC79CA" w:rsidP="00C44B3D">
            <w:pPr>
              <w:spacing w:after="200" w:line="276" w:lineRule="auto"/>
              <w:rPr>
                <w:rFonts w:ascii="Calibri" w:eastAsia="Calibri" w:hAnsi="Calibri" w:cs="Calibri"/>
                <w:sz w:val="20"/>
                <w:szCs w:val="20"/>
              </w:rPr>
            </w:pPr>
            <w:r w:rsidRPr="00EA7045">
              <w:rPr>
                <w:rFonts w:ascii="Calibri" w:eastAsia="Calibri" w:hAnsi="Calibri" w:cs="Calibri"/>
                <w:sz w:val="20"/>
                <w:szCs w:val="20"/>
              </w:rPr>
              <w:t>Michelle Waldron</w:t>
            </w:r>
          </w:p>
        </w:tc>
        <w:tc>
          <w:tcPr>
            <w:tcW w:w="701" w:type="pct"/>
            <w:shd w:val="clear" w:color="auto" w:fill="FFFFFF" w:themeFill="background1"/>
            <w:vAlign w:val="center"/>
          </w:tcPr>
          <w:p w14:paraId="6EF54F68" w14:textId="2CCCB7F0" w:rsidR="00CC79CA" w:rsidRPr="00EA7045" w:rsidRDefault="00CC79CA" w:rsidP="00C44B3D">
            <w:pPr>
              <w:spacing w:after="200" w:line="276" w:lineRule="auto"/>
              <w:rPr>
                <w:rFonts w:ascii="Calibri" w:eastAsia="Calibri" w:hAnsi="Calibri" w:cs="Calibri"/>
                <w:sz w:val="20"/>
                <w:szCs w:val="20"/>
              </w:rPr>
            </w:pPr>
            <w:r w:rsidRPr="00EA7045">
              <w:rPr>
                <w:rFonts w:ascii="Calibri" w:eastAsia="Calibri" w:hAnsi="Calibri" w:cs="Calibri"/>
                <w:sz w:val="20"/>
                <w:szCs w:val="20"/>
              </w:rPr>
              <w:t>TBA - 2024</w:t>
            </w:r>
          </w:p>
        </w:tc>
      </w:tr>
      <w:tr w:rsidR="00CC79CA" w:rsidRPr="00392366" w14:paraId="0A8C2A29" w14:textId="77777777" w:rsidTr="002268F5">
        <w:trPr>
          <w:cantSplit/>
          <w:trHeight w:val="1987"/>
        </w:trPr>
        <w:tc>
          <w:tcPr>
            <w:tcW w:w="1045" w:type="pct"/>
            <w:vMerge/>
          </w:tcPr>
          <w:p w14:paraId="4415E8D2" w14:textId="77777777" w:rsidR="00CC79CA" w:rsidRPr="00392366" w:rsidRDefault="00CC79CA" w:rsidP="00C44B3D">
            <w:pPr>
              <w:spacing w:after="0" w:line="240" w:lineRule="auto"/>
              <w:rPr>
                <w:rFonts w:ascii="Arial" w:eastAsia="Arial" w:hAnsi="Arial" w:cs="Arial"/>
                <w:sz w:val="20"/>
                <w:szCs w:val="20"/>
              </w:rPr>
            </w:pPr>
          </w:p>
        </w:tc>
        <w:tc>
          <w:tcPr>
            <w:tcW w:w="1541" w:type="pct"/>
            <w:shd w:val="clear" w:color="auto" w:fill="FFFFFF" w:themeFill="background1"/>
          </w:tcPr>
          <w:p w14:paraId="17919DA7" w14:textId="7ACF6071" w:rsidR="00CC79CA" w:rsidRPr="00392366" w:rsidRDefault="00CC79CA" w:rsidP="00C44B3D">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 xml:space="preserve">1.4 Supporting the partnership to respond to emerging themes and best practice around contextual safeguarding </w:t>
            </w:r>
          </w:p>
        </w:tc>
        <w:tc>
          <w:tcPr>
            <w:tcW w:w="751" w:type="pct"/>
            <w:shd w:val="clear" w:color="auto" w:fill="auto"/>
          </w:tcPr>
          <w:p w14:paraId="4859CF95" w14:textId="2ADC860F" w:rsidR="00CC79CA" w:rsidRPr="00392366" w:rsidRDefault="00CC79CA" w:rsidP="00C44B3D">
            <w:pPr>
              <w:spacing w:after="200" w:line="276" w:lineRule="auto"/>
              <w:rPr>
                <w:rFonts w:ascii="Helvetica" w:eastAsia="Helvetica" w:hAnsi="Helvetica" w:cs="Helvetica"/>
                <w:b/>
                <w:bCs/>
                <w:sz w:val="20"/>
                <w:szCs w:val="20"/>
              </w:rPr>
            </w:pPr>
            <w:r w:rsidRPr="00392366">
              <w:rPr>
                <w:sz w:val="20"/>
                <w:szCs w:val="20"/>
              </w:rPr>
              <w:t>Learning from reviews &amp; embedding reforms</w:t>
            </w:r>
          </w:p>
        </w:tc>
        <w:tc>
          <w:tcPr>
            <w:tcW w:w="962" w:type="pct"/>
            <w:shd w:val="clear" w:color="auto" w:fill="FFFFFF" w:themeFill="background1"/>
          </w:tcPr>
          <w:p w14:paraId="387D5EA5" w14:textId="30B98C32" w:rsidR="00CC79CA" w:rsidRPr="00392366" w:rsidRDefault="00CC79CA" w:rsidP="00C44B3D">
            <w:pPr>
              <w:spacing w:after="200" w:line="276" w:lineRule="auto"/>
              <w:rPr>
                <w:rFonts w:ascii="Calibri" w:eastAsia="Calibri" w:hAnsi="Calibri" w:cs="Calibri"/>
                <w:sz w:val="20"/>
                <w:szCs w:val="20"/>
              </w:rPr>
            </w:pPr>
            <w:r w:rsidRPr="00392366">
              <w:rPr>
                <w:rFonts w:ascii="Calibri" w:eastAsia="Calibri" w:hAnsi="Calibri" w:cs="Calibri"/>
                <w:sz w:val="20"/>
                <w:szCs w:val="20"/>
              </w:rPr>
              <w:t>Full Subgroup</w:t>
            </w:r>
          </w:p>
        </w:tc>
        <w:tc>
          <w:tcPr>
            <w:tcW w:w="701" w:type="pct"/>
            <w:shd w:val="clear" w:color="auto" w:fill="FFFFFF" w:themeFill="background1"/>
          </w:tcPr>
          <w:p w14:paraId="3CA4BFC6" w14:textId="2EE18205" w:rsidR="00CC79CA" w:rsidRPr="00392366" w:rsidRDefault="00CC79CA" w:rsidP="00A20A4B">
            <w:pPr>
              <w:spacing w:after="200" w:line="276" w:lineRule="auto"/>
              <w:rPr>
                <w:rFonts w:ascii="Calibri" w:eastAsia="Calibri" w:hAnsi="Calibri" w:cs="Calibri"/>
                <w:sz w:val="20"/>
                <w:szCs w:val="20"/>
              </w:rPr>
            </w:pPr>
            <w:r w:rsidRPr="00392366">
              <w:rPr>
                <w:rFonts w:ascii="Calibri" w:eastAsia="Calibri" w:hAnsi="Calibri" w:cs="Calibri"/>
                <w:sz w:val="20"/>
                <w:szCs w:val="20"/>
              </w:rPr>
              <w:t>Quarterly review</w:t>
            </w:r>
          </w:p>
        </w:tc>
      </w:tr>
      <w:tr w:rsidR="00CC79CA" w:rsidRPr="00392366" w14:paraId="546A5A58" w14:textId="77777777" w:rsidTr="002268F5">
        <w:trPr>
          <w:cantSplit/>
          <w:trHeight w:val="300"/>
        </w:trPr>
        <w:tc>
          <w:tcPr>
            <w:tcW w:w="1045" w:type="pct"/>
            <w:vMerge/>
          </w:tcPr>
          <w:p w14:paraId="7106CF36" w14:textId="77777777" w:rsidR="00CC79CA" w:rsidRPr="00392366" w:rsidRDefault="00CC79CA" w:rsidP="00535CAD">
            <w:pPr>
              <w:spacing w:after="0" w:line="240" w:lineRule="auto"/>
              <w:rPr>
                <w:rFonts w:ascii="Arial" w:eastAsia="Arial" w:hAnsi="Arial" w:cs="Arial"/>
                <w:sz w:val="20"/>
                <w:szCs w:val="20"/>
              </w:rPr>
            </w:pPr>
          </w:p>
        </w:tc>
        <w:tc>
          <w:tcPr>
            <w:tcW w:w="1541" w:type="pct"/>
            <w:shd w:val="clear" w:color="auto" w:fill="FFFFFF" w:themeFill="background1"/>
          </w:tcPr>
          <w:p w14:paraId="7421E0A6" w14:textId="4087F17E" w:rsidR="00CC79CA" w:rsidRPr="00392366" w:rsidRDefault="00CC79CA" w:rsidP="00535CAD">
            <w:pPr>
              <w:spacing w:after="0" w:line="240" w:lineRule="auto"/>
              <w:rPr>
                <w:rFonts w:ascii="Calibri" w:eastAsia="Calibri" w:hAnsi="Calibri" w:cs="Calibri"/>
                <w:sz w:val="20"/>
                <w:szCs w:val="20"/>
                <w:lang w:val="en-GB"/>
              </w:rPr>
            </w:pPr>
            <w:r>
              <w:rPr>
                <w:rFonts w:ascii="Calibri" w:eastAsia="Calibri" w:hAnsi="Calibri" w:cs="Calibri"/>
                <w:sz w:val="20"/>
                <w:szCs w:val="20"/>
                <w:lang w:val="en-GB"/>
              </w:rPr>
              <w:t>1.5</w:t>
            </w:r>
            <w:r w:rsidRPr="00392366">
              <w:rPr>
                <w:rFonts w:ascii="Calibri" w:eastAsia="Calibri" w:hAnsi="Calibri" w:cs="Calibri"/>
                <w:sz w:val="20"/>
                <w:szCs w:val="20"/>
                <w:lang w:val="en-GB"/>
              </w:rPr>
              <w:t xml:space="preserve"> Receive and consider data on other areas of concern, such as:</w:t>
            </w:r>
          </w:p>
          <w:p w14:paraId="16AD37DE" w14:textId="34A4FA6E" w:rsidR="00CC79CA" w:rsidRDefault="00CC79CA" w:rsidP="00535CAD">
            <w:pPr>
              <w:pStyle w:val="ListParagraph"/>
              <w:numPr>
                <w:ilvl w:val="0"/>
                <w:numId w:val="12"/>
              </w:numPr>
              <w:spacing w:after="0" w:line="240" w:lineRule="auto"/>
              <w:rPr>
                <w:rFonts w:ascii="Calibri" w:eastAsia="Calibri" w:hAnsi="Calibri" w:cs="Calibri"/>
                <w:sz w:val="20"/>
                <w:szCs w:val="20"/>
                <w:lang w:val="en-GB"/>
              </w:rPr>
            </w:pPr>
            <w:r w:rsidRPr="00392366">
              <w:rPr>
                <w:rFonts w:ascii="Calibri" w:eastAsia="Calibri" w:hAnsi="Calibri" w:cs="Calibri"/>
                <w:sz w:val="20"/>
                <w:szCs w:val="20"/>
                <w:lang w:val="en-GB"/>
              </w:rPr>
              <w:t>Self-harm and suicide prevention</w:t>
            </w:r>
          </w:p>
          <w:p w14:paraId="2D4847F9" w14:textId="37E992B0" w:rsidR="00CC79CA" w:rsidRPr="00535CAD" w:rsidRDefault="00CC79CA" w:rsidP="00535CAD">
            <w:pPr>
              <w:pStyle w:val="ListParagraph"/>
              <w:numPr>
                <w:ilvl w:val="0"/>
                <w:numId w:val="12"/>
              </w:numPr>
              <w:spacing w:after="0" w:line="240" w:lineRule="auto"/>
              <w:rPr>
                <w:rFonts w:ascii="Calibri" w:eastAsia="Calibri" w:hAnsi="Calibri" w:cs="Calibri"/>
                <w:sz w:val="20"/>
                <w:szCs w:val="20"/>
                <w:lang w:val="en-GB"/>
              </w:rPr>
            </w:pPr>
            <w:r w:rsidRPr="00535CAD">
              <w:rPr>
                <w:rFonts w:ascii="Calibri" w:eastAsia="Calibri" w:hAnsi="Calibri" w:cs="Calibri"/>
                <w:sz w:val="20"/>
                <w:szCs w:val="20"/>
                <w:lang w:val="en-GB"/>
              </w:rPr>
              <w:t>Substance misuse</w:t>
            </w:r>
          </w:p>
        </w:tc>
        <w:tc>
          <w:tcPr>
            <w:tcW w:w="751" w:type="pct"/>
            <w:shd w:val="clear" w:color="auto" w:fill="auto"/>
          </w:tcPr>
          <w:p w14:paraId="48FDF0F3" w14:textId="77777777" w:rsidR="00CC79CA" w:rsidRPr="00392366" w:rsidRDefault="00CC79CA" w:rsidP="00535CAD">
            <w:pPr>
              <w:spacing w:after="200" w:line="276" w:lineRule="auto"/>
              <w:rPr>
                <w:sz w:val="20"/>
                <w:szCs w:val="20"/>
              </w:rPr>
            </w:pPr>
          </w:p>
        </w:tc>
        <w:tc>
          <w:tcPr>
            <w:tcW w:w="962" w:type="pct"/>
            <w:shd w:val="clear" w:color="auto" w:fill="FFFFFF" w:themeFill="background1"/>
          </w:tcPr>
          <w:p w14:paraId="51117DC8" w14:textId="358E33FA" w:rsidR="00CC79CA" w:rsidRPr="00EA7045" w:rsidRDefault="00CC79CA" w:rsidP="00535CAD">
            <w:pPr>
              <w:spacing w:after="200" w:line="276" w:lineRule="auto"/>
              <w:rPr>
                <w:rFonts w:ascii="Calibri" w:eastAsia="Calibri" w:hAnsi="Calibri" w:cs="Calibri"/>
                <w:sz w:val="20"/>
                <w:szCs w:val="20"/>
              </w:rPr>
            </w:pPr>
            <w:r w:rsidRPr="00EA7045">
              <w:rPr>
                <w:rFonts w:ascii="Calibri" w:eastAsia="Calibri" w:hAnsi="Calibri" w:cs="Calibri"/>
                <w:sz w:val="20"/>
                <w:szCs w:val="20"/>
              </w:rPr>
              <w:t>Keith Shipman &amp; Sarah Brewster (substance misuse)</w:t>
            </w:r>
          </w:p>
        </w:tc>
        <w:tc>
          <w:tcPr>
            <w:tcW w:w="701" w:type="pct"/>
            <w:shd w:val="clear" w:color="auto" w:fill="FFFFFF" w:themeFill="background1"/>
          </w:tcPr>
          <w:p w14:paraId="271343E4" w14:textId="15F0BDFD" w:rsidR="00CC79CA" w:rsidRPr="00EA7045" w:rsidRDefault="00CC79CA" w:rsidP="00535CAD">
            <w:pPr>
              <w:spacing w:after="200" w:line="276" w:lineRule="auto"/>
              <w:rPr>
                <w:rFonts w:ascii="Calibri" w:eastAsia="Calibri" w:hAnsi="Calibri" w:cs="Calibri"/>
                <w:sz w:val="20"/>
                <w:szCs w:val="20"/>
              </w:rPr>
            </w:pPr>
            <w:r w:rsidRPr="00EA7045">
              <w:rPr>
                <w:rFonts w:ascii="Calibri" w:eastAsia="Calibri" w:hAnsi="Calibri" w:cs="Calibri"/>
                <w:sz w:val="20"/>
                <w:szCs w:val="20"/>
              </w:rPr>
              <w:t>Quarterly or 6-monthly?</w:t>
            </w:r>
          </w:p>
        </w:tc>
      </w:tr>
      <w:tr w:rsidR="00CC79CA" w:rsidRPr="00EA7045" w14:paraId="0F1D8582" w14:textId="77777777" w:rsidTr="00CC79CA">
        <w:trPr>
          <w:gridAfter w:val="4"/>
          <w:wAfter w:w="3955" w:type="pct"/>
          <w:cantSplit/>
          <w:trHeight w:val="490"/>
        </w:trPr>
        <w:tc>
          <w:tcPr>
            <w:tcW w:w="1045" w:type="pct"/>
            <w:vMerge w:val="restart"/>
            <w:shd w:val="clear" w:color="auto" w:fill="FFFFFF" w:themeFill="background1"/>
          </w:tcPr>
          <w:p w14:paraId="52105B84" w14:textId="7D54F7DC" w:rsidR="00CC79CA" w:rsidRPr="00392366" w:rsidRDefault="00CC79CA" w:rsidP="00535CAD">
            <w:pPr>
              <w:spacing w:after="0" w:line="240" w:lineRule="auto"/>
              <w:rPr>
                <w:rFonts w:eastAsia="Calibri"/>
                <w:sz w:val="20"/>
                <w:szCs w:val="20"/>
              </w:rPr>
            </w:pPr>
            <w:r w:rsidRPr="00392366">
              <w:rPr>
                <w:rFonts w:eastAsia="Calibri"/>
                <w:sz w:val="20"/>
                <w:szCs w:val="20"/>
              </w:rPr>
              <w:t xml:space="preserve">2. Support the MSCP response to Thematic Scrutiny &amp; Audit Findings from 2022-23 around contextual safeguarding, </w:t>
            </w:r>
            <w:proofErr w:type="spellStart"/>
            <w:r w:rsidRPr="00392366">
              <w:rPr>
                <w:rFonts w:eastAsia="Calibri"/>
                <w:sz w:val="20"/>
                <w:szCs w:val="20"/>
              </w:rPr>
              <w:t>adultification</w:t>
            </w:r>
            <w:proofErr w:type="spellEnd"/>
            <w:r w:rsidRPr="00392366">
              <w:rPr>
                <w:rFonts w:eastAsia="Calibri"/>
                <w:sz w:val="20"/>
                <w:szCs w:val="20"/>
              </w:rPr>
              <w:t xml:space="preserve"> and sexual violence in schools</w:t>
            </w:r>
          </w:p>
        </w:tc>
      </w:tr>
      <w:tr w:rsidR="00CC79CA" w:rsidRPr="00392366" w14:paraId="4D038AA4" w14:textId="77777777" w:rsidTr="002268F5">
        <w:trPr>
          <w:cantSplit/>
          <w:trHeight w:val="1340"/>
        </w:trPr>
        <w:tc>
          <w:tcPr>
            <w:tcW w:w="1045" w:type="pct"/>
            <w:vMerge/>
          </w:tcPr>
          <w:p w14:paraId="0633CDC6" w14:textId="77777777" w:rsidR="00CC79CA" w:rsidRPr="00392366" w:rsidRDefault="00CC79CA" w:rsidP="00535CAD">
            <w:pPr>
              <w:spacing w:after="0" w:line="240" w:lineRule="auto"/>
              <w:rPr>
                <w:rFonts w:eastAsia="Calibri"/>
                <w:sz w:val="20"/>
                <w:szCs w:val="20"/>
              </w:rPr>
            </w:pPr>
          </w:p>
        </w:tc>
        <w:tc>
          <w:tcPr>
            <w:tcW w:w="1541" w:type="pct"/>
            <w:shd w:val="clear" w:color="auto" w:fill="FFFFFF" w:themeFill="background1"/>
          </w:tcPr>
          <w:p w14:paraId="407F9525" w14:textId="7BE65236" w:rsidR="00CC79CA" w:rsidRPr="00392366" w:rsidRDefault="00CC79CA" w:rsidP="00535CAD">
            <w:pPr>
              <w:keepLines/>
              <w:spacing w:after="0" w:line="240" w:lineRule="auto"/>
              <w:rPr>
                <w:rFonts w:ascii="Calibri" w:hAnsi="Calibri" w:cs="Calibri"/>
                <w:color w:val="000000"/>
                <w:sz w:val="20"/>
                <w:szCs w:val="20"/>
                <w:shd w:val="clear" w:color="auto" w:fill="FFFFFF"/>
              </w:rPr>
            </w:pPr>
            <w:r w:rsidRPr="00392366">
              <w:rPr>
                <w:rFonts w:ascii="Calibri" w:hAnsi="Calibri" w:cs="Calibri"/>
                <w:color w:val="000000"/>
                <w:sz w:val="20"/>
                <w:szCs w:val="20"/>
                <w:shd w:val="clear" w:color="auto" w:fill="FFFFFF"/>
              </w:rPr>
              <w:t xml:space="preserve">2.1a Develop and promote innovative ways that children can report sexual harassment and abuse including: Anonymous reporting/online options, Beyond education settings </w:t>
            </w:r>
            <w:proofErr w:type="gramStart"/>
            <w:r w:rsidRPr="00392366">
              <w:rPr>
                <w:rFonts w:ascii="Calibri" w:hAnsi="Calibri" w:cs="Calibri"/>
                <w:color w:val="000000"/>
                <w:sz w:val="20"/>
                <w:szCs w:val="20"/>
                <w:shd w:val="clear" w:color="auto" w:fill="FFFFFF"/>
              </w:rPr>
              <w:t>e.g.</w:t>
            </w:r>
            <w:proofErr w:type="gramEnd"/>
            <w:r w:rsidRPr="00392366">
              <w:rPr>
                <w:rFonts w:ascii="Calibri" w:hAnsi="Calibri" w:cs="Calibri"/>
                <w:color w:val="000000"/>
                <w:sz w:val="20"/>
                <w:szCs w:val="20"/>
                <w:shd w:val="clear" w:color="auto" w:fill="FFFFFF"/>
              </w:rPr>
              <w:t xml:space="preserve"> 'Safer Streets' app as a way of reporting location</w:t>
            </w:r>
          </w:p>
          <w:p w14:paraId="0C69D0EB" w14:textId="77777777" w:rsidR="00CC79CA" w:rsidRPr="00392366" w:rsidRDefault="00CC79CA" w:rsidP="00535CAD">
            <w:pPr>
              <w:keepLines/>
              <w:spacing w:after="0" w:line="240" w:lineRule="auto"/>
              <w:rPr>
                <w:rFonts w:eastAsia="Calibri"/>
                <w:sz w:val="20"/>
                <w:szCs w:val="20"/>
              </w:rPr>
            </w:pPr>
          </w:p>
        </w:tc>
        <w:tc>
          <w:tcPr>
            <w:tcW w:w="751" w:type="pct"/>
            <w:shd w:val="clear" w:color="auto" w:fill="auto"/>
          </w:tcPr>
          <w:p w14:paraId="52806C63" w14:textId="6BDA6844" w:rsidR="00CC79CA" w:rsidRPr="00392366" w:rsidRDefault="00CC79CA" w:rsidP="00535CAD">
            <w:pPr>
              <w:keepLines/>
              <w:spacing w:after="200" w:line="276" w:lineRule="auto"/>
              <w:rPr>
                <w:sz w:val="20"/>
                <w:szCs w:val="20"/>
              </w:rPr>
            </w:pPr>
            <w:r w:rsidRPr="00392366">
              <w:rPr>
                <w:sz w:val="20"/>
                <w:szCs w:val="20"/>
              </w:rPr>
              <w:t>Learning from reviews &amp; embedding reforms; Voice of CYP and families</w:t>
            </w:r>
          </w:p>
        </w:tc>
        <w:tc>
          <w:tcPr>
            <w:tcW w:w="962" w:type="pct"/>
            <w:shd w:val="clear" w:color="auto" w:fill="FFFFFF" w:themeFill="background1"/>
          </w:tcPr>
          <w:p w14:paraId="23CAE177" w14:textId="3E1517F6" w:rsidR="00CC79CA" w:rsidRPr="00EA7045" w:rsidRDefault="00CC79CA" w:rsidP="00535CAD">
            <w:pPr>
              <w:keepLines/>
              <w:spacing w:after="200" w:line="276" w:lineRule="auto"/>
              <w:rPr>
                <w:rFonts w:eastAsia="Calibri"/>
                <w:sz w:val="20"/>
                <w:szCs w:val="20"/>
              </w:rPr>
            </w:pPr>
            <w:r w:rsidRPr="00EA7045">
              <w:rPr>
                <w:rFonts w:ascii="Calibri" w:eastAsia="Calibri" w:hAnsi="Calibri" w:cs="Calibri"/>
                <w:sz w:val="20"/>
                <w:szCs w:val="20"/>
              </w:rPr>
              <w:t>Lead to be agreed</w:t>
            </w:r>
          </w:p>
        </w:tc>
        <w:tc>
          <w:tcPr>
            <w:tcW w:w="701" w:type="pct"/>
            <w:shd w:val="clear" w:color="auto" w:fill="FFFFFF" w:themeFill="background1"/>
          </w:tcPr>
          <w:p w14:paraId="3938615B" w14:textId="4A451A60" w:rsidR="00CC79CA" w:rsidRPr="00EA7045" w:rsidRDefault="00CC79CA" w:rsidP="00535CAD">
            <w:pPr>
              <w:keepLines/>
              <w:spacing w:after="200" w:line="276" w:lineRule="auto"/>
              <w:rPr>
                <w:rFonts w:eastAsia="Calibri"/>
                <w:sz w:val="20"/>
                <w:szCs w:val="20"/>
              </w:rPr>
            </w:pPr>
            <w:r w:rsidRPr="00EA7045">
              <w:rPr>
                <w:rFonts w:ascii="Calibri" w:eastAsia="Calibri" w:hAnsi="Calibri" w:cs="Calibri"/>
                <w:sz w:val="20"/>
                <w:szCs w:val="20"/>
              </w:rPr>
              <w:t>TBA</w:t>
            </w:r>
          </w:p>
        </w:tc>
      </w:tr>
      <w:tr w:rsidR="00CC79CA" w:rsidRPr="00392366" w14:paraId="6614728B" w14:textId="77777777" w:rsidTr="002268F5">
        <w:trPr>
          <w:cantSplit/>
          <w:trHeight w:val="1779"/>
        </w:trPr>
        <w:tc>
          <w:tcPr>
            <w:tcW w:w="1045" w:type="pct"/>
            <w:vMerge/>
          </w:tcPr>
          <w:p w14:paraId="4B54917B" w14:textId="77777777" w:rsidR="00CC79CA" w:rsidRPr="00392366" w:rsidRDefault="00CC79CA" w:rsidP="00535CAD">
            <w:pPr>
              <w:spacing w:after="0" w:line="240" w:lineRule="auto"/>
              <w:rPr>
                <w:rFonts w:eastAsia="Calibri"/>
                <w:sz w:val="20"/>
                <w:szCs w:val="20"/>
              </w:rPr>
            </w:pPr>
          </w:p>
        </w:tc>
        <w:tc>
          <w:tcPr>
            <w:tcW w:w="1541" w:type="pct"/>
            <w:shd w:val="clear" w:color="auto" w:fill="FFFFFF" w:themeFill="background1"/>
          </w:tcPr>
          <w:p w14:paraId="7986D91A" w14:textId="03EADEF3" w:rsidR="00CC79CA" w:rsidRPr="00392366" w:rsidRDefault="00CC79CA" w:rsidP="00535CAD">
            <w:pPr>
              <w:spacing w:after="0" w:line="240" w:lineRule="auto"/>
              <w:rPr>
                <w:rFonts w:ascii="Calibri" w:hAnsi="Calibri" w:cs="Calibri"/>
                <w:color w:val="000000"/>
                <w:sz w:val="20"/>
                <w:szCs w:val="20"/>
                <w:shd w:val="clear" w:color="auto" w:fill="FFFFFF"/>
              </w:rPr>
            </w:pPr>
            <w:r w:rsidRPr="00392366">
              <w:rPr>
                <w:rFonts w:ascii="Calibri" w:hAnsi="Calibri" w:cs="Calibri"/>
                <w:color w:val="000000"/>
                <w:sz w:val="20"/>
                <w:szCs w:val="20"/>
                <w:shd w:val="clear" w:color="auto" w:fill="FFFFFF"/>
              </w:rPr>
              <w:t>2.1b Work with children and young people, especially those that have lived experience of sexual harassment and abuse, to regularly review the success of responses (in school and wider services).</w:t>
            </w:r>
          </w:p>
          <w:p w14:paraId="065DFC58" w14:textId="77777777" w:rsidR="00CC79CA" w:rsidRPr="00392366" w:rsidRDefault="00CC79CA" w:rsidP="00535CAD">
            <w:pPr>
              <w:spacing w:after="0" w:line="240" w:lineRule="auto"/>
              <w:rPr>
                <w:rFonts w:eastAsia="Calibri"/>
                <w:sz w:val="20"/>
                <w:szCs w:val="20"/>
              </w:rPr>
            </w:pPr>
          </w:p>
        </w:tc>
        <w:tc>
          <w:tcPr>
            <w:tcW w:w="751" w:type="pct"/>
            <w:shd w:val="clear" w:color="auto" w:fill="auto"/>
          </w:tcPr>
          <w:p w14:paraId="5EA67B95" w14:textId="2EADE81E" w:rsidR="00CC79CA" w:rsidRPr="00392366" w:rsidRDefault="00CC79CA" w:rsidP="00535CAD">
            <w:pPr>
              <w:spacing w:after="200" w:line="276" w:lineRule="auto"/>
              <w:rPr>
                <w:sz w:val="20"/>
                <w:szCs w:val="20"/>
              </w:rPr>
            </w:pPr>
            <w:r w:rsidRPr="00392366">
              <w:rPr>
                <w:sz w:val="20"/>
                <w:szCs w:val="20"/>
              </w:rPr>
              <w:t>Learning from reviews &amp; embedding reforms; Voice of CYP and families</w:t>
            </w:r>
          </w:p>
        </w:tc>
        <w:tc>
          <w:tcPr>
            <w:tcW w:w="962" w:type="pct"/>
            <w:shd w:val="clear" w:color="auto" w:fill="FFFFFF" w:themeFill="background1"/>
          </w:tcPr>
          <w:p w14:paraId="33DFE523" w14:textId="675C48E4" w:rsidR="00CC79CA" w:rsidRPr="00EA7045" w:rsidRDefault="00CC79CA" w:rsidP="00535CAD">
            <w:pPr>
              <w:spacing w:after="200" w:line="276" w:lineRule="auto"/>
              <w:rPr>
                <w:rFonts w:eastAsia="Calibri"/>
                <w:sz w:val="20"/>
                <w:szCs w:val="20"/>
              </w:rPr>
            </w:pPr>
            <w:r w:rsidRPr="00EA7045">
              <w:rPr>
                <w:rFonts w:ascii="Calibri" w:eastAsia="Calibri" w:hAnsi="Calibri" w:cs="Calibri"/>
                <w:sz w:val="20"/>
                <w:szCs w:val="20"/>
              </w:rPr>
              <w:t>Lead to be agreed</w:t>
            </w:r>
          </w:p>
        </w:tc>
        <w:tc>
          <w:tcPr>
            <w:tcW w:w="701" w:type="pct"/>
            <w:shd w:val="clear" w:color="auto" w:fill="FFFFFF" w:themeFill="background1"/>
          </w:tcPr>
          <w:p w14:paraId="2F6639AC" w14:textId="5A654D8F" w:rsidR="00CC79CA" w:rsidRPr="00EA7045" w:rsidRDefault="00CC79CA" w:rsidP="00535CAD">
            <w:pPr>
              <w:spacing w:after="200" w:line="276" w:lineRule="auto"/>
              <w:rPr>
                <w:rFonts w:eastAsia="Calibri"/>
                <w:sz w:val="20"/>
                <w:szCs w:val="20"/>
              </w:rPr>
            </w:pPr>
            <w:r w:rsidRPr="00EA7045">
              <w:rPr>
                <w:rFonts w:ascii="Calibri" w:eastAsia="Calibri" w:hAnsi="Calibri" w:cs="Calibri"/>
                <w:sz w:val="20"/>
                <w:szCs w:val="20"/>
              </w:rPr>
              <w:t>TBA</w:t>
            </w:r>
          </w:p>
        </w:tc>
      </w:tr>
      <w:tr w:rsidR="00CC79CA" w:rsidRPr="00392366" w14:paraId="02CE9B0C" w14:textId="77777777" w:rsidTr="002268F5">
        <w:trPr>
          <w:cantSplit/>
          <w:trHeight w:val="995"/>
        </w:trPr>
        <w:tc>
          <w:tcPr>
            <w:tcW w:w="1045" w:type="pct"/>
            <w:vMerge/>
          </w:tcPr>
          <w:p w14:paraId="4965FA61" w14:textId="77777777" w:rsidR="00CC79CA" w:rsidRPr="00392366" w:rsidRDefault="00CC79CA" w:rsidP="00535CAD">
            <w:pPr>
              <w:spacing w:after="0" w:line="240" w:lineRule="auto"/>
              <w:rPr>
                <w:rFonts w:eastAsia="Calibri"/>
                <w:sz w:val="20"/>
                <w:szCs w:val="20"/>
              </w:rPr>
            </w:pPr>
          </w:p>
        </w:tc>
        <w:tc>
          <w:tcPr>
            <w:tcW w:w="1541" w:type="pct"/>
            <w:shd w:val="clear" w:color="auto" w:fill="FFFFFF" w:themeFill="background1"/>
          </w:tcPr>
          <w:p w14:paraId="684337C6" w14:textId="65212BB7" w:rsidR="00CC79CA" w:rsidRPr="00392366" w:rsidRDefault="00CC79CA" w:rsidP="00535CAD">
            <w:pPr>
              <w:spacing w:after="0" w:line="240" w:lineRule="auto"/>
              <w:rPr>
                <w:rFonts w:eastAsia="Calibri"/>
                <w:sz w:val="20"/>
                <w:szCs w:val="20"/>
              </w:rPr>
            </w:pPr>
            <w:r w:rsidRPr="00392366">
              <w:rPr>
                <w:rFonts w:ascii="Calibri" w:hAnsi="Calibri" w:cs="Calibri"/>
                <w:color w:val="000000"/>
                <w:sz w:val="20"/>
                <w:szCs w:val="20"/>
                <w:shd w:val="clear" w:color="auto" w:fill="FFFFFF"/>
              </w:rPr>
              <w:t>2.1c Refresh HSB policy with schools/colleges reps including special schools.</w:t>
            </w:r>
          </w:p>
        </w:tc>
        <w:tc>
          <w:tcPr>
            <w:tcW w:w="751" w:type="pct"/>
            <w:shd w:val="clear" w:color="auto" w:fill="auto"/>
          </w:tcPr>
          <w:p w14:paraId="75BF8D47" w14:textId="72A6391E" w:rsidR="00CC79CA" w:rsidRPr="00392366" w:rsidRDefault="00CC79CA" w:rsidP="00535CAD">
            <w:pPr>
              <w:spacing w:after="200" w:line="276" w:lineRule="auto"/>
              <w:rPr>
                <w:sz w:val="20"/>
                <w:szCs w:val="20"/>
              </w:rPr>
            </w:pPr>
            <w:r w:rsidRPr="00392366">
              <w:rPr>
                <w:sz w:val="20"/>
                <w:szCs w:val="20"/>
              </w:rPr>
              <w:t>Learning from reviews &amp; embedding reforms</w:t>
            </w:r>
          </w:p>
        </w:tc>
        <w:tc>
          <w:tcPr>
            <w:tcW w:w="962" w:type="pct"/>
            <w:shd w:val="clear" w:color="auto" w:fill="FFFFFF" w:themeFill="background1"/>
          </w:tcPr>
          <w:p w14:paraId="509BE1A4" w14:textId="175720B0" w:rsidR="00CC79CA" w:rsidRPr="00EA7045" w:rsidRDefault="00CC79CA" w:rsidP="00535CAD">
            <w:pPr>
              <w:spacing w:after="200" w:line="276" w:lineRule="auto"/>
              <w:rPr>
                <w:rFonts w:eastAsia="Calibri"/>
                <w:sz w:val="20"/>
                <w:szCs w:val="20"/>
              </w:rPr>
            </w:pPr>
            <w:r w:rsidRPr="00EA7045">
              <w:rPr>
                <w:rFonts w:ascii="Calibri" w:eastAsia="Calibri" w:hAnsi="Calibri" w:cs="Calibri"/>
                <w:sz w:val="20"/>
                <w:szCs w:val="20"/>
              </w:rPr>
              <w:t>Lead to be agreed with support from Halima Mehmood</w:t>
            </w:r>
          </w:p>
        </w:tc>
        <w:tc>
          <w:tcPr>
            <w:tcW w:w="701" w:type="pct"/>
            <w:shd w:val="clear" w:color="auto" w:fill="FFFFFF" w:themeFill="background1"/>
          </w:tcPr>
          <w:p w14:paraId="072C2C5E" w14:textId="1FF2722A" w:rsidR="00CC79CA" w:rsidRPr="00392366" w:rsidRDefault="00CC79CA" w:rsidP="00535CAD">
            <w:pPr>
              <w:spacing w:after="200" w:line="276" w:lineRule="auto"/>
              <w:rPr>
                <w:rFonts w:eastAsia="Calibri"/>
                <w:sz w:val="20"/>
                <w:szCs w:val="20"/>
              </w:rPr>
            </w:pPr>
            <w:r>
              <w:rPr>
                <w:rFonts w:ascii="Calibri" w:eastAsia="Calibri" w:hAnsi="Calibri" w:cs="Calibri"/>
                <w:sz w:val="20"/>
                <w:szCs w:val="20"/>
              </w:rPr>
              <w:t>Dec 2023</w:t>
            </w:r>
          </w:p>
        </w:tc>
      </w:tr>
      <w:tr w:rsidR="00CC79CA" w:rsidRPr="00392366" w14:paraId="24BA9B8C" w14:textId="77777777" w:rsidTr="002268F5">
        <w:trPr>
          <w:cantSplit/>
          <w:trHeight w:val="1340"/>
        </w:trPr>
        <w:tc>
          <w:tcPr>
            <w:tcW w:w="1045" w:type="pct"/>
            <w:vMerge/>
          </w:tcPr>
          <w:p w14:paraId="62B634A7" w14:textId="77777777" w:rsidR="00CC79CA" w:rsidRPr="00392366" w:rsidRDefault="00CC79CA" w:rsidP="00535CAD">
            <w:pPr>
              <w:spacing w:after="0" w:line="240" w:lineRule="auto"/>
              <w:rPr>
                <w:rFonts w:eastAsia="Calibri"/>
                <w:sz w:val="20"/>
                <w:szCs w:val="20"/>
              </w:rPr>
            </w:pPr>
          </w:p>
        </w:tc>
        <w:tc>
          <w:tcPr>
            <w:tcW w:w="1541" w:type="pct"/>
            <w:shd w:val="clear" w:color="auto" w:fill="FFFFFF" w:themeFill="background1"/>
          </w:tcPr>
          <w:p w14:paraId="030EC64F" w14:textId="48B3197E" w:rsidR="00CC79CA" w:rsidRPr="00392366" w:rsidRDefault="00CC79CA" w:rsidP="00535CAD">
            <w:pPr>
              <w:spacing w:after="0" w:line="240" w:lineRule="auto"/>
              <w:rPr>
                <w:rFonts w:eastAsia="Calibri"/>
                <w:sz w:val="20"/>
                <w:szCs w:val="20"/>
              </w:rPr>
            </w:pPr>
            <w:r w:rsidRPr="00392366">
              <w:rPr>
                <w:rFonts w:ascii="Calibri" w:hAnsi="Calibri" w:cs="Calibri"/>
                <w:color w:val="000000"/>
                <w:sz w:val="20"/>
                <w:szCs w:val="20"/>
                <w:shd w:val="clear" w:color="auto" w:fill="FFFFFF"/>
              </w:rPr>
              <w:t>2.1d Raise awareness of risks and challenge attitudes to sexual harassment in the wider community - include parents and practitioners.</w:t>
            </w:r>
          </w:p>
        </w:tc>
        <w:tc>
          <w:tcPr>
            <w:tcW w:w="751" w:type="pct"/>
            <w:shd w:val="clear" w:color="auto" w:fill="auto"/>
          </w:tcPr>
          <w:p w14:paraId="68DA7DCB" w14:textId="6BF44D4C" w:rsidR="00CC79CA" w:rsidRPr="00392366" w:rsidRDefault="00CC79CA" w:rsidP="00535CAD">
            <w:pPr>
              <w:spacing w:after="200" w:line="276" w:lineRule="auto"/>
              <w:rPr>
                <w:sz w:val="20"/>
                <w:szCs w:val="20"/>
              </w:rPr>
            </w:pPr>
            <w:r w:rsidRPr="00392366">
              <w:rPr>
                <w:sz w:val="20"/>
                <w:szCs w:val="20"/>
              </w:rPr>
              <w:t>Learning from reviews &amp; embedding reforms; Think Family</w:t>
            </w:r>
          </w:p>
        </w:tc>
        <w:tc>
          <w:tcPr>
            <w:tcW w:w="962" w:type="pct"/>
            <w:shd w:val="clear" w:color="auto" w:fill="FFFFFF" w:themeFill="background1"/>
          </w:tcPr>
          <w:p w14:paraId="2118BE53" w14:textId="388BD482" w:rsidR="00CC79CA" w:rsidRPr="00392366" w:rsidRDefault="00CC79CA" w:rsidP="00535CAD">
            <w:pPr>
              <w:spacing w:after="200" w:line="276" w:lineRule="auto"/>
              <w:rPr>
                <w:rFonts w:eastAsia="Calibri"/>
                <w:sz w:val="20"/>
                <w:szCs w:val="20"/>
              </w:rPr>
            </w:pPr>
            <w:r w:rsidRPr="00EA7045">
              <w:rPr>
                <w:rFonts w:ascii="Calibri" w:eastAsia="Calibri" w:hAnsi="Calibri" w:cs="Calibri"/>
                <w:sz w:val="20"/>
                <w:szCs w:val="20"/>
              </w:rPr>
              <w:t>Lead to be agreed</w:t>
            </w:r>
          </w:p>
        </w:tc>
        <w:tc>
          <w:tcPr>
            <w:tcW w:w="701" w:type="pct"/>
            <w:shd w:val="clear" w:color="auto" w:fill="FFFFFF" w:themeFill="background1"/>
          </w:tcPr>
          <w:p w14:paraId="4D4A3E02" w14:textId="676463B4" w:rsidR="00CC79CA" w:rsidRPr="00392366" w:rsidRDefault="00CC79CA" w:rsidP="00535CAD">
            <w:pPr>
              <w:spacing w:after="200" w:line="276" w:lineRule="auto"/>
              <w:rPr>
                <w:rFonts w:eastAsia="Calibri"/>
                <w:sz w:val="20"/>
                <w:szCs w:val="20"/>
              </w:rPr>
            </w:pPr>
            <w:r w:rsidRPr="00EA7045">
              <w:rPr>
                <w:rFonts w:ascii="Calibri" w:eastAsia="Calibri" w:hAnsi="Calibri" w:cs="Calibri"/>
                <w:sz w:val="20"/>
                <w:szCs w:val="20"/>
              </w:rPr>
              <w:t>TBA</w:t>
            </w:r>
          </w:p>
        </w:tc>
      </w:tr>
      <w:tr w:rsidR="00CC79CA" w:rsidRPr="00392366" w14:paraId="031EEB2E" w14:textId="77777777" w:rsidTr="002268F5">
        <w:trPr>
          <w:cantSplit/>
          <w:trHeight w:val="300"/>
        </w:trPr>
        <w:tc>
          <w:tcPr>
            <w:tcW w:w="1045" w:type="pct"/>
            <w:vMerge/>
          </w:tcPr>
          <w:p w14:paraId="519D6251" w14:textId="77777777" w:rsidR="00CC79CA" w:rsidRPr="00392366" w:rsidRDefault="00CC79CA" w:rsidP="00BD03A2">
            <w:pPr>
              <w:spacing w:after="0" w:line="240" w:lineRule="auto"/>
              <w:rPr>
                <w:rFonts w:eastAsia="Calibri"/>
                <w:sz w:val="20"/>
                <w:szCs w:val="20"/>
              </w:rPr>
            </w:pPr>
          </w:p>
        </w:tc>
        <w:tc>
          <w:tcPr>
            <w:tcW w:w="1541" w:type="pct"/>
            <w:shd w:val="clear" w:color="auto" w:fill="FFFFFF" w:themeFill="background1"/>
          </w:tcPr>
          <w:p w14:paraId="5960076A" w14:textId="02CE07FE" w:rsidR="00CC79CA" w:rsidRDefault="00CC79CA" w:rsidP="00BD03A2">
            <w:pPr>
              <w:spacing w:after="0" w:line="240" w:lineRule="auto"/>
              <w:rPr>
                <w:rFonts w:eastAsia="Calibri"/>
                <w:sz w:val="20"/>
                <w:szCs w:val="20"/>
              </w:rPr>
            </w:pPr>
            <w:r>
              <w:rPr>
                <w:rFonts w:eastAsia="Calibri"/>
                <w:sz w:val="20"/>
                <w:szCs w:val="20"/>
              </w:rPr>
              <w:t>2.2 Set up multi-agency roundtable to consider and propose improved approach to information, particularly reflecting recent MSCP learning, including:</w:t>
            </w:r>
          </w:p>
          <w:p w14:paraId="53D18229" w14:textId="77777777" w:rsidR="00CC79CA" w:rsidRDefault="00CC79CA" w:rsidP="00670021">
            <w:pPr>
              <w:pStyle w:val="ListParagraph"/>
              <w:numPr>
                <w:ilvl w:val="0"/>
                <w:numId w:val="13"/>
              </w:numPr>
              <w:spacing w:after="0" w:line="240" w:lineRule="auto"/>
              <w:ind w:left="470" w:hanging="284"/>
              <w:rPr>
                <w:rFonts w:eastAsia="Calibri"/>
                <w:sz w:val="20"/>
                <w:szCs w:val="20"/>
              </w:rPr>
            </w:pPr>
            <w:r w:rsidRPr="00392366">
              <w:rPr>
                <w:rFonts w:eastAsia="Calibri"/>
                <w:sz w:val="20"/>
                <w:szCs w:val="20"/>
              </w:rPr>
              <w:t>Dissemination of decision &amp; relevant info, including actions, following key meetings (contextual safeguarding audit)</w:t>
            </w:r>
          </w:p>
          <w:p w14:paraId="1DD1AFEB" w14:textId="43BD64D1" w:rsidR="00CC79CA" w:rsidRPr="00670021" w:rsidRDefault="00CC79CA" w:rsidP="00670021">
            <w:pPr>
              <w:pStyle w:val="ListParagraph"/>
              <w:numPr>
                <w:ilvl w:val="0"/>
                <w:numId w:val="13"/>
              </w:numPr>
              <w:spacing w:after="0" w:line="240" w:lineRule="auto"/>
              <w:ind w:left="470" w:hanging="284"/>
              <w:rPr>
                <w:rFonts w:eastAsia="Calibri"/>
                <w:sz w:val="20"/>
                <w:szCs w:val="20"/>
              </w:rPr>
            </w:pPr>
            <w:r w:rsidRPr="00670021">
              <w:rPr>
                <w:rFonts w:eastAsia="Calibri"/>
                <w:sz w:val="20"/>
                <w:szCs w:val="20"/>
              </w:rPr>
              <w:t>How to share info with networks, without disrupting relationship between worker and young person (Child O RR)</w:t>
            </w:r>
          </w:p>
        </w:tc>
        <w:tc>
          <w:tcPr>
            <w:tcW w:w="751" w:type="pct"/>
            <w:shd w:val="clear" w:color="auto" w:fill="auto"/>
          </w:tcPr>
          <w:p w14:paraId="105692D4" w14:textId="32CD14F1" w:rsidR="00CC79CA" w:rsidRPr="00392366" w:rsidRDefault="00CC79CA" w:rsidP="00BD03A2">
            <w:pPr>
              <w:spacing w:after="200" w:line="276" w:lineRule="auto"/>
              <w:rPr>
                <w:sz w:val="20"/>
                <w:szCs w:val="20"/>
              </w:rPr>
            </w:pPr>
            <w:r w:rsidRPr="00392366">
              <w:rPr>
                <w:sz w:val="20"/>
                <w:szCs w:val="20"/>
              </w:rPr>
              <w:t>Learning from reviews &amp; embedding reforms</w:t>
            </w:r>
          </w:p>
        </w:tc>
        <w:tc>
          <w:tcPr>
            <w:tcW w:w="962" w:type="pct"/>
            <w:shd w:val="clear" w:color="auto" w:fill="FFFFFF" w:themeFill="background1"/>
          </w:tcPr>
          <w:p w14:paraId="644B9B4A" w14:textId="11D3FEB4" w:rsidR="00CC79CA" w:rsidRPr="00392366" w:rsidRDefault="00CC79CA" w:rsidP="00BD03A2">
            <w:pPr>
              <w:spacing w:after="200" w:line="276" w:lineRule="auto"/>
              <w:rPr>
                <w:rFonts w:ascii="Calibri" w:eastAsia="Calibri" w:hAnsi="Calibri" w:cs="Calibri"/>
                <w:sz w:val="20"/>
                <w:szCs w:val="20"/>
              </w:rPr>
            </w:pPr>
            <w:r w:rsidRPr="162D4F3F">
              <w:rPr>
                <w:rFonts w:ascii="Calibri" w:eastAsia="Calibri" w:hAnsi="Calibri" w:cs="Calibri"/>
                <w:sz w:val="20"/>
                <w:szCs w:val="20"/>
              </w:rPr>
              <w:t xml:space="preserve">Joseph Davenport </w:t>
            </w:r>
            <w:r w:rsidRPr="00B628CA">
              <w:rPr>
                <w:rFonts w:ascii="Calibri" w:eastAsia="Calibri" w:hAnsi="Calibri" w:cs="Calibri"/>
                <w:sz w:val="20"/>
                <w:szCs w:val="20"/>
              </w:rPr>
              <w:t>supported by Hayley Carter</w:t>
            </w:r>
          </w:p>
        </w:tc>
        <w:tc>
          <w:tcPr>
            <w:tcW w:w="701" w:type="pct"/>
            <w:shd w:val="clear" w:color="auto" w:fill="FFFFFF" w:themeFill="background1"/>
          </w:tcPr>
          <w:p w14:paraId="439162A3" w14:textId="5C48F75B" w:rsidR="00CC79CA" w:rsidRPr="00392366" w:rsidRDefault="00CC79CA" w:rsidP="00BD03A2">
            <w:pPr>
              <w:spacing w:after="200" w:line="276" w:lineRule="auto"/>
              <w:rPr>
                <w:rFonts w:ascii="Calibri" w:eastAsia="Calibri" w:hAnsi="Calibri" w:cs="Calibri"/>
                <w:sz w:val="20"/>
                <w:szCs w:val="20"/>
                <w:highlight w:val="yellow"/>
              </w:rPr>
            </w:pPr>
            <w:r w:rsidRPr="00EA7045">
              <w:rPr>
                <w:rFonts w:ascii="Calibri" w:eastAsia="Calibri" w:hAnsi="Calibri" w:cs="Calibri"/>
                <w:sz w:val="20"/>
                <w:szCs w:val="20"/>
              </w:rPr>
              <w:t>TBA</w:t>
            </w:r>
          </w:p>
        </w:tc>
      </w:tr>
      <w:tr w:rsidR="00CC79CA" w:rsidRPr="00392366" w14:paraId="2FA12EB4" w14:textId="77777777" w:rsidTr="002268F5">
        <w:trPr>
          <w:cantSplit/>
          <w:trHeight w:val="300"/>
        </w:trPr>
        <w:tc>
          <w:tcPr>
            <w:tcW w:w="1045" w:type="pct"/>
            <w:vMerge/>
          </w:tcPr>
          <w:p w14:paraId="1E297504" w14:textId="77777777" w:rsidR="00CC79CA" w:rsidRPr="00392366" w:rsidRDefault="00CC79CA" w:rsidP="00BD03A2">
            <w:pPr>
              <w:spacing w:after="0" w:line="240" w:lineRule="auto"/>
              <w:rPr>
                <w:rFonts w:eastAsia="Calibri"/>
                <w:sz w:val="20"/>
                <w:szCs w:val="20"/>
              </w:rPr>
            </w:pPr>
          </w:p>
        </w:tc>
        <w:tc>
          <w:tcPr>
            <w:tcW w:w="1541" w:type="pct"/>
            <w:shd w:val="clear" w:color="auto" w:fill="FFFFFF" w:themeFill="background1"/>
          </w:tcPr>
          <w:p w14:paraId="377ADA5E" w14:textId="7CDC9EB7" w:rsidR="00CC79CA" w:rsidRPr="00392366" w:rsidRDefault="00CC79CA" w:rsidP="00BD03A2">
            <w:pPr>
              <w:spacing w:after="0" w:line="240" w:lineRule="auto"/>
              <w:rPr>
                <w:rFonts w:eastAsia="Calibri"/>
                <w:sz w:val="20"/>
                <w:szCs w:val="20"/>
              </w:rPr>
            </w:pPr>
            <w:r w:rsidRPr="00392366">
              <w:rPr>
                <w:rFonts w:eastAsia="Calibri"/>
                <w:sz w:val="20"/>
                <w:szCs w:val="20"/>
              </w:rPr>
              <w:t xml:space="preserve">2.3 Support the </w:t>
            </w:r>
            <w:proofErr w:type="spellStart"/>
            <w:r w:rsidRPr="00392366">
              <w:rPr>
                <w:rFonts w:eastAsia="Calibri"/>
                <w:sz w:val="20"/>
                <w:szCs w:val="20"/>
              </w:rPr>
              <w:t>adultification</w:t>
            </w:r>
            <w:proofErr w:type="spellEnd"/>
            <w:r w:rsidRPr="00392366">
              <w:rPr>
                <w:rFonts w:eastAsia="Calibri"/>
                <w:sz w:val="20"/>
                <w:szCs w:val="20"/>
              </w:rPr>
              <w:t xml:space="preserve"> task &amp; finish group to deliver actions in response to </w:t>
            </w:r>
            <w:proofErr w:type="spellStart"/>
            <w:r w:rsidRPr="00392366">
              <w:rPr>
                <w:rFonts w:eastAsia="Calibri"/>
                <w:sz w:val="20"/>
                <w:szCs w:val="20"/>
              </w:rPr>
              <w:t>adultification</w:t>
            </w:r>
            <w:proofErr w:type="spellEnd"/>
            <w:r w:rsidRPr="00392366">
              <w:rPr>
                <w:rFonts w:eastAsia="Calibri"/>
                <w:sz w:val="20"/>
                <w:szCs w:val="20"/>
              </w:rPr>
              <w:t xml:space="preserve"> scrutiny </w:t>
            </w:r>
          </w:p>
        </w:tc>
        <w:tc>
          <w:tcPr>
            <w:tcW w:w="751" w:type="pct"/>
            <w:shd w:val="clear" w:color="auto" w:fill="auto"/>
          </w:tcPr>
          <w:p w14:paraId="7F181FA9" w14:textId="771FA39A" w:rsidR="00CC79CA" w:rsidRPr="00392366" w:rsidRDefault="00CC79CA" w:rsidP="00BD03A2">
            <w:pPr>
              <w:spacing w:after="200" w:line="276" w:lineRule="auto"/>
              <w:rPr>
                <w:rFonts w:eastAsia="Calibri"/>
                <w:sz w:val="20"/>
                <w:szCs w:val="20"/>
              </w:rPr>
            </w:pPr>
            <w:r w:rsidRPr="00392366">
              <w:rPr>
                <w:sz w:val="20"/>
                <w:szCs w:val="20"/>
              </w:rPr>
              <w:t xml:space="preserve">Addressing disproportionality; Learning from reviews &amp; embedding reforms </w:t>
            </w:r>
          </w:p>
        </w:tc>
        <w:tc>
          <w:tcPr>
            <w:tcW w:w="962" w:type="pct"/>
            <w:shd w:val="clear" w:color="auto" w:fill="FFFFFF" w:themeFill="background1"/>
          </w:tcPr>
          <w:p w14:paraId="5B839C97" w14:textId="1616A47A" w:rsidR="00CC79CA" w:rsidRPr="00392366" w:rsidRDefault="00CC79CA" w:rsidP="00BD03A2">
            <w:pPr>
              <w:spacing w:after="200" w:line="276" w:lineRule="auto"/>
              <w:rPr>
                <w:rFonts w:eastAsia="Calibri"/>
                <w:sz w:val="20"/>
                <w:szCs w:val="20"/>
              </w:rPr>
            </w:pPr>
            <w:r w:rsidRPr="00392366">
              <w:rPr>
                <w:rFonts w:eastAsia="Calibri"/>
                <w:sz w:val="20"/>
                <w:szCs w:val="20"/>
              </w:rPr>
              <w:t>Full subgroup</w:t>
            </w:r>
          </w:p>
        </w:tc>
        <w:tc>
          <w:tcPr>
            <w:tcW w:w="701" w:type="pct"/>
            <w:shd w:val="clear" w:color="auto" w:fill="FFFFFF" w:themeFill="background1"/>
          </w:tcPr>
          <w:p w14:paraId="631B32FB" w14:textId="190C606B" w:rsidR="00CC79CA" w:rsidRPr="00392366" w:rsidRDefault="00CC79CA" w:rsidP="00BD03A2">
            <w:pPr>
              <w:spacing w:after="200" w:line="276" w:lineRule="auto"/>
              <w:rPr>
                <w:rFonts w:eastAsia="Calibri"/>
                <w:sz w:val="20"/>
                <w:szCs w:val="20"/>
              </w:rPr>
            </w:pPr>
            <w:r w:rsidRPr="00392366">
              <w:rPr>
                <w:rFonts w:eastAsia="Calibri"/>
                <w:sz w:val="20"/>
                <w:szCs w:val="20"/>
              </w:rPr>
              <w:t>TBA</w:t>
            </w:r>
          </w:p>
        </w:tc>
      </w:tr>
      <w:tr w:rsidR="00CC79CA" w:rsidRPr="00392366" w14:paraId="60AE23F4" w14:textId="77777777" w:rsidTr="002268F5">
        <w:trPr>
          <w:cantSplit/>
          <w:trHeight w:val="300"/>
        </w:trPr>
        <w:tc>
          <w:tcPr>
            <w:tcW w:w="1045" w:type="pct"/>
            <w:vMerge w:val="restart"/>
            <w:shd w:val="clear" w:color="auto" w:fill="FFFFFF" w:themeFill="background1"/>
          </w:tcPr>
          <w:p w14:paraId="13A625AE" w14:textId="3DF05D20" w:rsidR="00CC79CA" w:rsidRPr="00392366" w:rsidRDefault="00CC79CA" w:rsidP="00BD03A2">
            <w:pPr>
              <w:rPr>
                <w:rFonts w:ascii="Calibri" w:eastAsia="Calibri" w:hAnsi="Calibri" w:cs="Calibri"/>
                <w:sz w:val="20"/>
                <w:szCs w:val="20"/>
                <w:lang w:val="en-GB"/>
              </w:rPr>
            </w:pPr>
            <w:r>
              <w:rPr>
                <w:rFonts w:ascii="Calibri" w:eastAsia="Calibri" w:hAnsi="Calibri" w:cs="Calibri"/>
                <w:sz w:val="20"/>
                <w:szCs w:val="20"/>
                <w:lang w:val="en-GB"/>
              </w:rPr>
              <w:lastRenderedPageBreak/>
              <w:t>3</w:t>
            </w:r>
            <w:r w:rsidRPr="00392366">
              <w:rPr>
                <w:rFonts w:ascii="Calibri" w:eastAsia="Calibri" w:hAnsi="Calibri" w:cs="Calibri"/>
                <w:sz w:val="20"/>
                <w:szCs w:val="20"/>
                <w:lang w:val="en-GB"/>
              </w:rPr>
              <w:t>. The subgroup ensures that MSCP policies, performance and learning from reviews and audits, within the remit of the subgroup, are regularly reviewed and progressed as required.</w:t>
            </w:r>
          </w:p>
          <w:p w14:paraId="0361FFFB" w14:textId="77777777" w:rsidR="00CC79CA" w:rsidRPr="00392366" w:rsidRDefault="00CC79CA" w:rsidP="00BD03A2">
            <w:pPr>
              <w:spacing w:after="0" w:line="240" w:lineRule="auto"/>
              <w:rPr>
                <w:rFonts w:ascii="Calibri" w:eastAsia="Calibri" w:hAnsi="Calibri" w:cs="Calibri"/>
                <w:sz w:val="20"/>
                <w:szCs w:val="20"/>
                <w:lang w:val="en-GB"/>
              </w:rPr>
            </w:pPr>
          </w:p>
        </w:tc>
        <w:tc>
          <w:tcPr>
            <w:tcW w:w="1541" w:type="pct"/>
            <w:shd w:val="clear" w:color="auto" w:fill="FFFFFF" w:themeFill="background1"/>
          </w:tcPr>
          <w:p w14:paraId="61A60424" w14:textId="4AF678B9" w:rsidR="00CC79CA" w:rsidRPr="00392366" w:rsidRDefault="00CC79CA" w:rsidP="00BD03A2">
            <w:pPr>
              <w:spacing w:after="0" w:line="240" w:lineRule="auto"/>
              <w:rPr>
                <w:rFonts w:ascii="Calibri" w:eastAsia="Calibri" w:hAnsi="Calibri" w:cs="Calibri"/>
                <w:sz w:val="20"/>
                <w:szCs w:val="20"/>
                <w:lang w:val="en-GB"/>
              </w:rPr>
            </w:pPr>
            <w:r>
              <w:rPr>
                <w:rFonts w:ascii="Calibri" w:eastAsia="Calibri" w:hAnsi="Calibri" w:cs="Calibri"/>
                <w:sz w:val="20"/>
                <w:szCs w:val="20"/>
                <w:lang w:val="en-GB"/>
              </w:rPr>
              <w:t>3</w:t>
            </w:r>
            <w:r w:rsidRPr="00392366">
              <w:rPr>
                <w:rFonts w:ascii="Calibri" w:eastAsia="Calibri" w:hAnsi="Calibri" w:cs="Calibri"/>
                <w:sz w:val="20"/>
                <w:szCs w:val="20"/>
                <w:lang w:val="en-GB"/>
              </w:rPr>
              <w:t>.1 Review MSCP policy and procedure documents referred by the Policy &amp; Training Sub-Group to ensure they are up to date, relevant and fully reflect the needs of children and young people prior to publication.</w:t>
            </w:r>
          </w:p>
        </w:tc>
        <w:tc>
          <w:tcPr>
            <w:tcW w:w="751" w:type="pct"/>
            <w:shd w:val="clear" w:color="auto" w:fill="auto"/>
          </w:tcPr>
          <w:p w14:paraId="38F9CF9E" w14:textId="70E8131E" w:rsidR="00CC79CA" w:rsidRPr="00392366" w:rsidRDefault="00CC79CA" w:rsidP="00BD03A2">
            <w:pPr>
              <w:spacing w:after="200" w:line="276" w:lineRule="auto"/>
              <w:rPr>
                <w:rFonts w:ascii="Helvetica" w:eastAsia="Helvetica" w:hAnsi="Helvetica" w:cs="Helvetica"/>
                <w:b/>
                <w:bCs/>
                <w:sz w:val="20"/>
                <w:szCs w:val="20"/>
              </w:rPr>
            </w:pPr>
          </w:p>
        </w:tc>
        <w:tc>
          <w:tcPr>
            <w:tcW w:w="962" w:type="pct"/>
            <w:shd w:val="clear" w:color="auto" w:fill="auto"/>
          </w:tcPr>
          <w:p w14:paraId="629EA182" w14:textId="4994D979"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Full Subgroup</w:t>
            </w:r>
          </w:p>
        </w:tc>
        <w:tc>
          <w:tcPr>
            <w:tcW w:w="701" w:type="pct"/>
            <w:shd w:val="clear" w:color="auto" w:fill="auto"/>
          </w:tcPr>
          <w:p w14:paraId="7AA6F282" w14:textId="5C512893"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Ad-hoc</w:t>
            </w:r>
          </w:p>
        </w:tc>
      </w:tr>
      <w:tr w:rsidR="00CC79CA" w:rsidRPr="00392366" w14:paraId="67685CEF" w14:textId="77777777" w:rsidTr="002268F5">
        <w:trPr>
          <w:cantSplit/>
          <w:trHeight w:val="300"/>
        </w:trPr>
        <w:tc>
          <w:tcPr>
            <w:tcW w:w="1045" w:type="pct"/>
            <w:vMerge/>
          </w:tcPr>
          <w:p w14:paraId="751487C2" w14:textId="77777777" w:rsidR="00CC79CA" w:rsidRPr="00392366" w:rsidRDefault="00CC79CA" w:rsidP="00BD03A2">
            <w:pPr>
              <w:rPr>
                <w:rFonts w:ascii="Arial" w:eastAsia="Arial" w:hAnsi="Arial" w:cs="Arial"/>
                <w:sz w:val="20"/>
                <w:szCs w:val="20"/>
              </w:rPr>
            </w:pPr>
          </w:p>
        </w:tc>
        <w:tc>
          <w:tcPr>
            <w:tcW w:w="1541" w:type="pct"/>
            <w:shd w:val="clear" w:color="auto" w:fill="FFFFFF" w:themeFill="background1"/>
          </w:tcPr>
          <w:p w14:paraId="2FA92267" w14:textId="569255DC" w:rsidR="00CC79CA" w:rsidRPr="00392366" w:rsidRDefault="00CC79CA" w:rsidP="00BD03A2">
            <w:pPr>
              <w:spacing w:after="0" w:line="240" w:lineRule="auto"/>
              <w:rPr>
                <w:rFonts w:ascii="Calibri" w:eastAsia="Calibri" w:hAnsi="Calibri" w:cs="Calibri"/>
                <w:sz w:val="20"/>
                <w:szCs w:val="20"/>
                <w:lang w:val="en-GB"/>
              </w:rPr>
            </w:pPr>
            <w:r>
              <w:rPr>
                <w:rFonts w:ascii="Calibri" w:eastAsia="Calibri" w:hAnsi="Calibri" w:cs="Calibri"/>
                <w:sz w:val="20"/>
                <w:szCs w:val="20"/>
                <w:lang w:val="en-GB"/>
              </w:rPr>
              <w:t>3</w:t>
            </w:r>
            <w:r w:rsidRPr="00392366">
              <w:rPr>
                <w:rFonts w:ascii="Calibri" w:eastAsia="Calibri" w:hAnsi="Calibri" w:cs="Calibri"/>
                <w:sz w:val="20"/>
                <w:szCs w:val="20"/>
                <w:lang w:val="en-GB"/>
              </w:rPr>
              <w:t xml:space="preserve">.2 Ensure that relevant recommendations and learning from local/national reviews are reflected and updated within policies, working procedures and training programme in the MSCP.    </w:t>
            </w:r>
          </w:p>
        </w:tc>
        <w:tc>
          <w:tcPr>
            <w:tcW w:w="751" w:type="pct"/>
            <w:shd w:val="clear" w:color="auto" w:fill="auto"/>
          </w:tcPr>
          <w:p w14:paraId="069985E4" w14:textId="12325133" w:rsidR="00CC79CA" w:rsidRPr="00392366" w:rsidRDefault="00CC79CA" w:rsidP="00BD03A2">
            <w:pPr>
              <w:spacing w:after="200" w:line="276" w:lineRule="auto"/>
              <w:rPr>
                <w:rFonts w:ascii="Helvetica" w:eastAsia="Helvetica" w:hAnsi="Helvetica" w:cs="Helvetica"/>
                <w:b/>
                <w:bCs/>
                <w:sz w:val="20"/>
                <w:szCs w:val="20"/>
              </w:rPr>
            </w:pPr>
            <w:r w:rsidRPr="00392366">
              <w:rPr>
                <w:sz w:val="20"/>
                <w:szCs w:val="20"/>
              </w:rPr>
              <w:t>Learning from reviews &amp; embedding reforms</w:t>
            </w:r>
          </w:p>
        </w:tc>
        <w:tc>
          <w:tcPr>
            <w:tcW w:w="962" w:type="pct"/>
            <w:shd w:val="clear" w:color="auto" w:fill="auto"/>
          </w:tcPr>
          <w:p w14:paraId="4AB21F58" w14:textId="09520248"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Full Subgroup</w:t>
            </w:r>
          </w:p>
        </w:tc>
        <w:tc>
          <w:tcPr>
            <w:tcW w:w="701" w:type="pct"/>
            <w:shd w:val="clear" w:color="auto" w:fill="auto"/>
          </w:tcPr>
          <w:p w14:paraId="2E69508E" w14:textId="6B0159E7" w:rsidR="00CC79CA" w:rsidRPr="00392366" w:rsidRDefault="00CC79CA" w:rsidP="00BD03A2">
            <w:pPr>
              <w:spacing w:after="200" w:line="276" w:lineRule="auto"/>
              <w:rPr>
                <w:rFonts w:ascii="Calibri" w:eastAsia="Calibri" w:hAnsi="Calibri" w:cs="Calibri"/>
                <w:sz w:val="20"/>
                <w:szCs w:val="20"/>
              </w:rPr>
            </w:pPr>
            <w:r w:rsidRPr="00392366">
              <w:rPr>
                <w:rFonts w:ascii="Calibri" w:eastAsia="Calibri" w:hAnsi="Calibri" w:cs="Calibri"/>
                <w:sz w:val="20"/>
                <w:szCs w:val="20"/>
                <w:lang w:val="en-GB"/>
              </w:rPr>
              <w:t>Ad-hoc</w:t>
            </w:r>
          </w:p>
        </w:tc>
      </w:tr>
      <w:tr w:rsidR="00CC79CA" w:rsidRPr="00392366" w14:paraId="663D8B71" w14:textId="77777777" w:rsidTr="002268F5">
        <w:trPr>
          <w:cantSplit/>
          <w:trHeight w:val="648"/>
        </w:trPr>
        <w:tc>
          <w:tcPr>
            <w:tcW w:w="1045" w:type="pct"/>
            <w:vMerge/>
          </w:tcPr>
          <w:p w14:paraId="4FFE9842" w14:textId="77777777" w:rsidR="00CC79CA" w:rsidRPr="00392366" w:rsidRDefault="00CC79CA" w:rsidP="00BD03A2">
            <w:pPr>
              <w:rPr>
                <w:rFonts w:ascii="Arial" w:eastAsia="Arial" w:hAnsi="Arial" w:cs="Arial"/>
                <w:sz w:val="20"/>
                <w:szCs w:val="20"/>
              </w:rPr>
            </w:pPr>
          </w:p>
        </w:tc>
        <w:tc>
          <w:tcPr>
            <w:tcW w:w="1541" w:type="pct"/>
            <w:shd w:val="clear" w:color="auto" w:fill="FFFFFF" w:themeFill="background1"/>
          </w:tcPr>
          <w:p w14:paraId="7523FAFC" w14:textId="38070BA5" w:rsidR="00CC79CA" w:rsidRPr="00392366" w:rsidRDefault="00CC79CA" w:rsidP="00BD03A2">
            <w:pPr>
              <w:spacing w:after="0" w:line="240" w:lineRule="auto"/>
              <w:rPr>
                <w:rFonts w:ascii="Calibri" w:eastAsia="Calibri" w:hAnsi="Calibri" w:cs="Calibri"/>
                <w:sz w:val="20"/>
                <w:szCs w:val="20"/>
                <w:lang w:val="en-GB"/>
              </w:rPr>
            </w:pPr>
            <w:r>
              <w:rPr>
                <w:rFonts w:ascii="Calibri" w:eastAsia="Calibri" w:hAnsi="Calibri" w:cs="Calibri"/>
                <w:sz w:val="20"/>
                <w:szCs w:val="20"/>
                <w:lang w:val="en-GB"/>
              </w:rPr>
              <w:t>3</w:t>
            </w:r>
            <w:r w:rsidRPr="00392366">
              <w:rPr>
                <w:rFonts w:ascii="Calibri" w:eastAsia="Calibri" w:hAnsi="Calibri" w:cs="Calibri"/>
                <w:sz w:val="20"/>
                <w:szCs w:val="20"/>
                <w:lang w:val="en-GB"/>
              </w:rPr>
              <w:t xml:space="preserve">.3 Review up-to-date performance data </w:t>
            </w:r>
          </w:p>
        </w:tc>
        <w:tc>
          <w:tcPr>
            <w:tcW w:w="751" w:type="pct"/>
            <w:shd w:val="clear" w:color="auto" w:fill="auto"/>
          </w:tcPr>
          <w:p w14:paraId="00607BAE" w14:textId="77777777" w:rsidR="00CC79CA" w:rsidRPr="00392366" w:rsidRDefault="00CC79CA" w:rsidP="00BD03A2">
            <w:pPr>
              <w:spacing w:after="200" w:line="276" w:lineRule="auto"/>
              <w:rPr>
                <w:rFonts w:ascii="Helvetica" w:eastAsia="Helvetica" w:hAnsi="Helvetica" w:cs="Helvetica"/>
                <w:b/>
                <w:bCs/>
                <w:sz w:val="20"/>
                <w:szCs w:val="20"/>
              </w:rPr>
            </w:pPr>
          </w:p>
        </w:tc>
        <w:tc>
          <w:tcPr>
            <w:tcW w:w="962" w:type="pct"/>
            <w:shd w:val="clear" w:color="auto" w:fill="auto"/>
          </w:tcPr>
          <w:p w14:paraId="10756581" w14:textId="611A5277"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Full Subgroup</w:t>
            </w:r>
          </w:p>
        </w:tc>
        <w:tc>
          <w:tcPr>
            <w:tcW w:w="701" w:type="pct"/>
            <w:shd w:val="clear" w:color="auto" w:fill="auto"/>
          </w:tcPr>
          <w:p w14:paraId="02C3CE8D" w14:textId="218AA68F"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Quarterly</w:t>
            </w:r>
          </w:p>
        </w:tc>
      </w:tr>
      <w:tr w:rsidR="00CC79CA" w:rsidRPr="00392366" w14:paraId="32CB6C21" w14:textId="77777777" w:rsidTr="002268F5">
        <w:trPr>
          <w:cantSplit/>
          <w:trHeight w:val="300"/>
        </w:trPr>
        <w:tc>
          <w:tcPr>
            <w:tcW w:w="1045" w:type="pct"/>
            <w:vMerge/>
          </w:tcPr>
          <w:p w14:paraId="0ADCB5AA" w14:textId="56C04800" w:rsidR="00CC79CA" w:rsidRPr="00392366" w:rsidRDefault="00CC79CA" w:rsidP="00BD03A2">
            <w:pPr>
              <w:rPr>
                <w:rFonts w:ascii="Arial" w:eastAsia="Arial" w:hAnsi="Arial" w:cs="Arial"/>
                <w:sz w:val="20"/>
                <w:szCs w:val="20"/>
              </w:rPr>
            </w:pPr>
          </w:p>
        </w:tc>
        <w:tc>
          <w:tcPr>
            <w:tcW w:w="1541" w:type="pct"/>
            <w:shd w:val="clear" w:color="auto" w:fill="FFFFFF" w:themeFill="background1"/>
          </w:tcPr>
          <w:p w14:paraId="5031FF64" w14:textId="7189117B" w:rsidR="00CC79CA" w:rsidRPr="00392366" w:rsidRDefault="00CC79CA" w:rsidP="00BD03A2">
            <w:pPr>
              <w:spacing w:after="0" w:line="240" w:lineRule="auto"/>
              <w:rPr>
                <w:rFonts w:ascii="Calibri" w:eastAsia="Calibri" w:hAnsi="Calibri" w:cs="Calibri"/>
                <w:sz w:val="20"/>
                <w:szCs w:val="20"/>
                <w:lang w:val="en-GB"/>
              </w:rPr>
            </w:pPr>
            <w:r>
              <w:rPr>
                <w:rFonts w:ascii="Calibri" w:eastAsia="Calibri" w:hAnsi="Calibri" w:cs="Calibri"/>
                <w:sz w:val="20"/>
                <w:szCs w:val="20"/>
                <w:lang w:val="en-GB"/>
              </w:rPr>
              <w:t>3</w:t>
            </w:r>
            <w:r w:rsidRPr="00392366">
              <w:rPr>
                <w:rFonts w:ascii="Calibri" w:eastAsia="Calibri" w:hAnsi="Calibri" w:cs="Calibri"/>
                <w:sz w:val="20"/>
                <w:szCs w:val="20"/>
                <w:lang w:val="en-GB"/>
              </w:rPr>
              <w:t>.4 Support and contribute towards MSCP audits and scrutiny as required</w:t>
            </w:r>
          </w:p>
        </w:tc>
        <w:tc>
          <w:tcPr>
            <w:tcW w:w="751" w:type="pct"/>
            <w:shd w:val="clear" w:color="auto" w:fill="auto"/>
          </w:tcPr>
          <w:p w14:paraId="291F87DB" w14:textId="5C3881B7" w:rsidR="00CC79CA" w:rsidRPr="00392366" w:rsidRDefault="00CC79CA" w:rsidP="00BD03A2">
            <w:pPr>
              <w:spacing w:after="200" w:line="276" w:lineRule="auto"/>
              <w:rPr>
                <w:rFonts w:ascii="Helvetica" w:eastAsia="Helvetica" w:hAnsi="Helvetica" w:cs="Helvetica"/>
                <w:b/>
                <w:bCs/>
                <w:sz w:val="20"/>
                <w:szCs w:val="20"/>
              </w:rPr>
            </w:pPr>
            <w:r w:rsidRPr="00392366">
              <w:rPr>
                <w:sz w:val="20"/>
                <w:szCs w:val="20"/>
              </w:rPr>
              <w:t>Learning from reviews &amp; embedding reforms</w:t>
            </w:r>
          </w:p>
        </w:tc>
        <w:tc>
          <w:tcPr>
            <w:tcW w:w="962" w:type="pct"/>
            <w:shd w:val="clear" w:color="auto" w:fill="auto"/>
          </w:tcPr>
          <w:p w14:paraId="39AB9EF2" w14:textId="5E60AD06"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Full Subgroup</w:t>
            </w:r>
          </w:p>
        </w:tc>
        <w:tc>
          <w:tcPr>
            <w:tcW w:w="701" w:type="pct"/>
            <w:shd w:val="clear" w:color="auto" w:fill="auto"/>
          </w:tcPr>
          <w:p w14:paraId="07FD8136" w14:textId="57AE45F1" w:rsidR="00CC79CA" w:rsidRPr="00392366" w:rsidRDefault="00CC79CA" w:rsidP="00BD03A2">
            <w:pPr>
              <w:spacing w:after="200" w:line="276" w:lineRule="auto"/>
              <w:rPr>
                <w:rFonts w:ascii="Calibri" w:eastAsia="Calibri" w:hAnsi="Calibri" w:cs="Calibri"/>
                <w:sz w:val="20"/>
                <w:szCs w:val="20"/>
                <w:lang w:val="en-GB"/>
              </w:rPr>
            </w:pPr>
            <w:r w:rsidRPr="00392366">
              <w:rPr>
                <w:rFonts w:ascii="Calibri" w:eastAsia="Calibri" w:hAnsi="Calibri" w:cs="Calibri"/>
                <w:sz w:val="20"/>
                <w:szCs w:val="20"/>
                <w:lang w:val="en-GB"/>
              </w:rPr>
              <w:t>Ad-hoc</w:t>
            </w:r>
          </w:p>
        </w:tc>
      </w:tr>
    </w:tbl>
    <w:p w14:paraId="1BC71C42" w14:textId="77777777" w:rsidR="00A04E4A" w:rsidRDefault="00A04E4A">
      <w:pPr>
        <w:rPr>
          <w:color w:val="FF0000"/>
        </w:rPr>
      </w:pPr>
    </w:p>
    <w:p w14:paraId="7F8D2D02" w14:textId="77777777" w:rsidR="00A04E4A" w:rsidRDefault="00A04E4A">
      <w:pPr>
        <w:rPr>
          <w:color w:val="FF0000"/>
        </w:rPr>
      </w:pPr>
    </w:p>
    <w:sectPr w:rsidR="00A04E4A">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4F00" w14:textId="77777777" w:rsidR="004C2C36" w:rsidRDefault="004C2C36" w:rsidP="00F94524">
      <w:pPr>
        <w:spacing w:after="0" w:line="240" w:lineRule="auto"/>
      </w:pPr>
      <w:r>
        <w:separator/>
      </w:r>
    </w:p>
  </w:endnote>
  <w:endnote w:type="continuationSeparator" w:id="0">
    <w:p w14:paraId="392A54A7" w14:textId="77777777" w:rsidR="004C2C36" w:rsidRDefault="004C2C36" w:rsidP="00F94524">
      <w:pPr>
        <w:spacing w:after="0" w:line="240" w:lineRule="auto"/>
      </w:pPr>
      <w:r>
        <w:continuationSeparator/>
      </w:r>
    </w:p>
  </w:endnote>
  <w:endnote w:type="continuationNotice" w:id="1">
    <w:p w14:paraId="6199EC7B" w14:textId="77777777" w:rsidR="004C2C36" w:rsidRDefault="004C2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E687" w14:textId="4EDA4C49" w:rsidR="000719FD" w:rsidRDefault="000719FD">
    <w:pPr>
      <w:pStyle w:val="Footer"/>
    </w:pPr>
    <w:r>
      <w:rPr>
        <w:rStyle w:val="FootnoteReference"/>
      </w:rPr>
      <w:footnoteRef/>
    </w:r>
    <w:r>
      <w:t xml:space="preserve"> The MSCP business includes five cross-cutting themes: A) Voice of children, young people, and families, b) Think Family, c) Addressing disproportionality, d) </w:t>
    </w:r>
    <w:r w:rsidRPr="00045A7A">
      <w:t>Pressures on families including cost</w:t>
    </w:r>
    <w:r>
      <w:t>-</w:t>
    </w:r>
    <w:r w:rsidRPr="00045A7A">
      <w:t>of-living and impact of Covid-19</w:t>
    </w:r>
    <w:r>
      <w:t xml:space="preserve">, e) Learning from reviews &amp; embedding </w:t>
    </w:r>
    <w:proofErr w:type="gramStart"/>
    <w:r>
      <w:t>reforms</w:t>
    </w:r>
    <w:proofErr w:type="gramEnd"/>
  </w:p>
  <w:p w14:paraId="6E41B731" w14:textId="77777777" w:rsidR="000719FD" w:rsidRDefault="0007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3CDD" w14:textId="77777777" w:rsidR="004C2C36" w:rsidRDefault="004C2C36" w:rsidP="00F94524">
      <w:pPr>
        <w:spacing w:after="0" w:line="240" w:lineRule="auto"/>
      </w:pPr>
      <w:r>
        <w:separator/>
      </w:r>
    </w:p>
  </w:footnote>
  <w:footnote w:type="continuationSeparator" w:id="0">
    <w:p w14:paraId="2E54DFD7" w14:textId="77777777" w:rsidR="004C2C36" w:rsidRDefault="004C2C36" w:rsidP="00F94524">
      <w:pPr>
        <w:spacing w:after="0" w:line="240" w:lineRule="auto"/>
      </w:pPr>
      <w:r>
        <w:continuationSeparator/>
      </w:r>
    </w:p>
  </w:footnote>
  <w:footnote w:type="continuationNotice" w:id="1">
    <w:p w14:paraId="12685B9A" w14:textId="77777777" w:rsidR="004C2C36" w:rsidRDefault="004C2C36">
      <w:pPr>
        <w:spacing w:after="0" w:line="240" w:lineRule="auto"/>
      </w:pPr>
    </w:p>
  </w:footnote>
  <w:footnote w:id="2">
    <w:p w14:paraId="48CDFECE" w14:textId="77777777" w:rsidR="00CC79CA" w:rsidRDefault="00CC79CA" w:rsidP="00C637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A3D0" w14:textId="77777777" w:rsidR="00D6760E" w:rsidRDefault="00D6760E" w:rsidP="00D6760E">
    <w:pPr>
      <w:spacing w:after="200" w:line="276" w:lineRule="auto"/>
      <w:ind w:left="436" w:hanging="426"/>
      <w:rPr>
        <w:rFonts w:ascii="Helvetica" w:eastAsia="Helvetica" w:hAnsi="Helvetica" w:cs="Helvetica"/>
        <w:b/>
        <w:bCs/>
        <w:sz w:val="32"/>
        <w:szCs w:val="32"/>
        <w:lang w:val="en-GB"/>
      </w:rPr>
    </w:pPr>
    <w:r w:rsidRPr="00511463">
      <w:rPr>
        <w:b/>
        <w:bCs/>
        <w:noProof/>
        <w:sz w:val="52"/>
        <w:szCs w:val="52"/>
      </w:rPr>
      <w:drawing>
        <wp:anchor distT="0" distB="0" distL="114300" distR="114300" simplePos="0" relativeHeight="251658240" behindDoc="1" locked="0" layoutInCell="1" allowOverlap="1" wp14:anchorId="31010E20" wp14:editId="1087B59F">
          <wp:simplePos x="0" y="0"/>
          <wp:positionH relativeFrom="margin">
            <wp:posOffset>7679027</wp:posOffset>
          </wp:positionH>
          <wp:positionV relativeFrom="paragraph">
            <wp:posOffset>-298063</wp:posOffset>
          </wp:positionV>
          <wp:extent cx="858558" cy="1096120"/>
          <wp:effectExtent l="0" t="0" r="0" b="8890"/>
          <wp:wrapNone/>
          <wp:docPr id="14" name="Picture 1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37301" t="4969" r="31202" b="23365"/>
                  <a:stretch/>
                </pic:blipFill>
                <pic:spPr bwMode="auto">
                  <a:xfrm>
                    <a:off x="0" y="0"/>
                    <a:ext cx="858558" cy="109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BD8">
      <w:rPr>
        <w:rFonts w:ascii="Helvetica" w:eastAsia="Helvetica" w:hAnsi="Helvetica" w:cs="Helvetica"/>
        <w:b/>
        <w:bCs/>
        <w:sz w:val="32"/>
        <w:szCs w:val="32"/>
        <w:lang w:val="en-GB"/>
      </w:rPr>
      <w:t xml:space="preserve">PROMOTE AND PROTECT YOUNG PEOPLE </w:t>
    </w:r>
    <w:r>
      <w:rPr>
        <w:rFonts w:ascii="Helvetica" w:eastAsia="Helvetica" w:hAnsi="Helvetica" w:cs="Helvetica"/>
        <w:b/>
        <w:bCs/>
        <w:sz w:val="32"/>
        <w:szCs w:val="32"/>
        <w:lang w:val="en-GB"/>
      </w:rPr>
      <w:t>(PPYP)</w:t>
    </w:r>
    <w:r w:rsidRPr="003D2646">
      <w:rPr>
        <w:b/>
        <w:bCs/>
        <w:noProof/>
        <w:sz w:val="52"/>
        <w:szCs w:val="52"/>
      </w:rPr>
      <w:t xml:space="preserve"> </w:t>
    </w:r>
  </w:p>
  <w:p w14:paraId="35163BCE" w14:textId="77777777" w:rsidR="00D6760E" w:rsidRPr="00FD0BD8" w:rsidRDefault="00D6760E" w:rsidP="00D6760E">
    <w:pPr>
      <w:spacing w:after="200" w:line="276" w:lineRule="auto"/>
      <w:ind w:left="436" w:hanging="426"/>
      <w:rPr>
        <w:rFonts w:ascii="Helvetica" w:eastAsia="Helvetica" w:hAnsi="Helvetica" w:cs="Helvetica"/>
        <w:sz w:val="32"/>
        <w:szCs w:val="32"/>
      </w:rPr>
    </w:pPr>
    <w:r w:rsidRPr="00FD0BD8">
      <w:rPr>
        <w:rFonts w:ascii="Helvetica" w:eastAsia="Helvetica" w:hAnsi="Helvetica" w:cs="Helvetica"/>
        <w:b/>
        <w:bCs/>
        <w:sz w:val="32"/>
        <w:szCs w:val="32"/>
        <w:lang w:val="en-GB"/>
      </w:rPr>
      <w:t>SUB-GROUP WORKPLAN 2023-24</w:t>
    </w:r>
  </w:p>
  <w:p w14:paraId="655B8397" w14:textId="78E60FD4" w:rsidR="00F94524" w:rsidRDefault="00F94524">
    <w:pPr>
      <w:pStyle w:val="Header"/>
    </w:pPr>
  </w:p>
</w:hdr>
</file>

<file path=word/intelligence.xml><?xml version="1.0" encoding="utf-8"?>
<int:Intelligence xmlns:int="http://schemas.microsoft.com/office/intelligence/2019/intelligence">
  <int:IntelligenceSettings/>
  <int:Manifest>
    <int:ParagraphRange paragraphId="21418877" textId="1953162921" start="121" length="5" invalidationStart="121" invalidationLength="5" id="byeQmcWG"/>
  </int:Manifest>
  <int:Observations>
    <int:Content id="byeQmcW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B95"/>
    <w:multiLevelType w:val="hybridMultilevel"/>
    <w:tmpl w:val="19BEF5F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2571F"/>
    <w:multiLevelType w:val="hybridMultilevel"/>
    <w:tmpl w:val="19BEF5F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20E04"/>
    <w:multiLevelType w:val="multilevel"/>
    <w:tmpl w:val="EC2027B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72995"/>
    <w:multiLevelType w:val="hybridMultilevel"/>
    <w:tmpl w:val="C6A421A4"/>
    <w:lvl w:ilvl="0" w:tplc="0B72555E">
      <w:start w:val="1"/>
      <w:numFmt w:val="bullet"/>
      <w:lvlText w:val=""/>
      <w:lvlJc w:val="left"/>
      <w:pPr>
        <w:ind w:left="720" w:hanging="360"/>
      </w:pPr>
      <w:rPr>
        <w:rFonts w:ascii="Symbol" w:hAnsi="Symbol" w:hint="default"/>
      </w:rPr>
    </w:lvl>
    <w:lvl w:ilvl="1" w:tplc="5622C8B8">
      <w:start w:val="1"/>
      <w:numFmt w:val="bullet"/>
      <w:lvlText w:val="o"/>
      <w:lvlJc w:val="left"/>
      <w:pPr>
        <w:ind w:left="1440" w:hanging="360"/>
      </w:pPr>
      <w:rPr>
        <w:rFonts w:ascii="Courier New" w:hAnsi="Courier New" w:hint="default"/>
      </w:rPr>
    </w:lvl>
    <w:lvl w:ilvl="2" w:tplc="D0BA0F90">
      <w:start w:val="1"/>
      <w:numFmt w:val="bullet"/>
      <w:lvlText w:val=""/>
      <w:lvlJc w:val="left"/>
      <w:pPr>
        <w:ind w:left="2160" w:hanging="360"/>
      </w:pPr>
      <w:rPr>
        <w:rFonts w:ascii="Wingdings" w:hAnsi="Wingdings" w:hint="default"/>
      </w:rPr>
    </w:lvl>
    <w:lvl w:ilvl="3" w:tplc="5C580DA4">
      <w:start w:val="1"/>
      <w:numFmt w:val="bullet"/>
      <w:lvlText w:val=""/>
      <w:lvlJc w:val="left"/>
      <w:pPr>
        <w:ind w:left="2880" w:hanging="360"/>
      </w:pPr>
      <w:rPr>
        <w:rFonts w:ascii="Symbol" w:hAnsi="Symbol" w:hint="default"/>
      </w:rPr>
    </w:lvl>
    <w:lvl w:ilvl="4" w:tplc="B704BB6A">
      <w:start w:val="1"/>
      <w:numFmt w:val="bullet"/>
      <w:lvlText w:val="o"/>
      <w:lvlJc w:val="left"/>
      <w:pPr>
        <w:ind w:left="3600" w:hanging="360"/>
      </w:pPr>
      <w:rPr>
        <w:rFonts w:ascii="Courier New" w:hAnsi="Courier New" w:hint="default"/>
      </w:rPr>
    </w:lvl>
    <w:lvl w:ilvl="5" w:tplc="54D0175C">
      <w:start w:val="1"/>
      <w:numFmt w:val="bullet"/>
      <w:lvlText w:val=""/>
      <w:lvlJc w:val="left"/>
      <w:pPr>
        <w:ind w:left="4320" w:hanging="360"/>
      </w:pPr>
      <w:rPr>
        <w:rFonts w:ascii="Wingdings" w:hAnsi="Wingdings" w:hint="default"/>
      </w:rPr>
    </w:lvl>
    <w:lvl w:ilvl="6" w:tplc="7428B6FC">
      <w:start w:val="1"/>
      <w:numFmt w:val="bullet"/>
      <w:lvlText w:val=""/>
      <w:lvlJc w:val="left"/>
      <w:pPr>
        <w:ind w:left="5040" w:hanging="360"/>
      </w:pPr>
      <w:rPr>
        <w:rFonts w:ascii="Symbol" w:hAnsi="Symbol" w:hint="default"/>
      </w:rPr>
    </w:lvl>
    <w:lvl w:ilvl="7" w:tplc="811A6392">
      <w:start w:val="1"/>
      <w:numFmt w:val="bullet"/>
      <w:lvlText w:val="o"/>
      <w:lvlJc w:val="left"/>
      <w:pPr>
        <w:ind w:left="5760" w:hanging="360"/>
      </w:pPr>
      <w:rPr>
        <w:rFonts w:ascii="Courier New" w:hAnsi="Courier New" w:hint="default"/>
      </w:rPr>
    </w:lvl>
    <w:lvl w:ilvl="8" w:tplc="755CB0EE">
      <w:start w:val="1"/>
      <w:numFmt w:val="bullet"/>
      <w:lvlText w:val=""/>
      <w:lvlJc w:val="left"/>
      <w:pPr>
        <w:ind w:left="6480" w:hanging="360"/>
      </w:pPr>
      <w:rPr>
        <w:rFonts w:ascii="Wingdings" w:hAnsi="Wingdings" w:hint="default"/>
      </w:rPr>
    </w:lvl>
  </w:abstractNum>
  <w:abstractNum w:abstractNumId="4" w15:restartNumberingAfterBreak="0">
    <w:nsid w:val="2F4A75B2"/>
    <w:multiLevelType w:val="hybridMultilevel"/>
    <w:tmpl w:val="1C94D39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60370C"/>
    <w:multiLevelType w:val="hybridMultilevel"/>
    <w:tmpl w:val="054A34F2"/>
    <w:lvl w:ilvl="0" w:tplc="7F3A59FE">
      <w:start w:val="1"/>
      <w:numFmt w:val="bullet"/>
      <w:lvlText w:val=""/>
      <w:lvlJc w:val="left"/>
      <w:pPr>
        <w:ind w:left="720" w:hanging="360"/>
      </w:pPr>
      <w:rPr>
        <w:rFonts w:ascii="Symbol" w:hAnsi="Symbol" w:hint="default"/>
      </w:rPr>
    </w:lvl>
    <w:lvl w:ilvl="1" w:tplc="D1262DD2">
      <w:start w:val="1"/>
      <w:numFmt w:val="bullet"/>
      <w:lvlText w:val="o"/>
      <w:lvlJc w:val="left"/>
      <w:pPr>
        <w:ind w:left="1440" w:hanging="360"/>
      </w:pPr>
      <w:rPr>
        <w:rFonts w:ascii="Courier New" w:hAnsi="Courier New" w:hint="default"/>
      </w:rPr>
    </w:lvl>
    <w:lvl w:ilvl="2" w:tplc="2AD4514A">
      <w:start w:val="1"/>
      <w:numFmt w:val="bullet"/>
      <w:lvlText w:val=""/>
      <w:lvlJc w:val="left"/>
      <w:pPr>
        <w:ind w:left="2160" w:hanging="360"/>
      </w:pPr>
      <w:rPr>
        <w:rFonts w:ascii="Wingdings" w:hAnsi="Wingdings" w:hint="default"/>
      </w:rPr>
    </w:lvl>
    <w:lvl w:ilvl="3" w:tplc="ED521A64">
      <w:start w:val="1"/>
      <w:numFmt w:val="bullet"/>
      <w:lvlText w:val=""/>
      <w:lvlJc w:val="left"/>
      <w:pPr>
        <w:ind w:left="2880" w:hanging="360"/>
      </w:pPr>
      <w:rPr>
        <w:rFonts w:ascii="Symbol" w:hAnsi="Symbol" w:hint="default"/>
      </w:rPr>
    </w:lvl>
    <w:lvl w:ilvl="4" w:tplc="CF58E990">
      <w:start w:val="1"/>
      <w:numFmt w:val="bullet"/>
      <w:lvlText w:val="o"/>
      <w:lvlJc w:val="left"/>
      <w:pPr>
        <w:ind w:left="3600" w:hanging="360"/>
      </w:pPr>
      <w:rPr>
        <w:rFonts w:ascii="Courier New" w:hAnsi="Courier New" w:hint="default"/>
      </w:rPr>
    </w:lvl>
    <w:lvl w:ilvl="5" w:tplc="01EE3E7E">
      <w:start w:val="1"/>
      <w:numFmt w:val="bullet"/>
      <w:lvlText w:val=""/>
      <w:lvlJc w:val="left"/>
      <w:pPr>
        <w:ind w:left="4320" w:hanging="360"/>
      </w:pPr>
      <w:rPr>
        <w:rFonts w:ascii="Wingdings" w:hAnsi="Wingdings" w:hint="default"/>
      </w:rPr>
    </w:lvl>
    <w:lvl w:ilvl="6" w:tplc="EC94A232">
      <w:start w:val="1"/>
      <w:numFmt w:val="bullet"/>
      <w:lvlText w:val=""/>
      <w:lvlJc w:val="left"/>
      <w:pPr>
        <w:ind w:left="5040" w:hanging="360"/>
      </w:pPr>
      <w:rPr>
        <w:rFonts w:ascii="Symbol" w:hAnsi="Symbol" w:hint="default"/>
      </w:rPr>
    </w:lvl>
    <w:lvl w:ilvl="7" w:tplc="D528F79A">
      <w:start w:val="1"/>
      <w:numFmt w:val="bullet"/>
      <w:lvlText w:val="o"/>
      <w:lvlJc w:val="left"/>
      <w:pPr>
        <w:ind w:left="5760" w:hanging="360"/>
      </w:pPr>
      <w:rPr>
        <w:rFonts w:ascii="Courier New" w:hAnsi="Courier New" w:hint="default"/>
      </w:rPr>
    </w:lvl>
    <w:lvl w:ilvl="8" w:tplc="8990F142">
      <w:start w:val="1"/>
      <w:numFmt w:val="bullet"/>
      <w:lvlText w:val=""/>
      <w:lvlJc w:val="left"/>
      <w:pPr>
        <w:ind w:left="6480" w:hanging="360"/>
      </w:pPr>
      <w:rPr>
        <w:rFonts w:ascii="Wingdings" w:hAnsi="Wingdings" w:hint="default"/>
      </w:rPr>
    </w:lvl>
  </w:abstractNum>
  <w:abstractNum w:abstractNumId="6" w15:restartNumberingAfterBreak="0">
    <w:nsid w:val="33285148"/>
    <w:multiLevelType w:val="hybridMultilevel"/>
    <w:tmpl w:val="08EEF7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390E7C"/>
    <w:multiLevelType w:val="hybridMultilevel"/>
    <w:tmpl w:val="67A80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26F9B"/>
    <w:multiLevelType w:val="hybridMultilevel"/>
    <w:tmpl w:val="C49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E1F3C"/>
    <w:multiLevelType w:val="hybridMultilevel"/>
    <w:tmpl w:val="BE2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B6F"/>
    <w:multiLevelType w:val="hybridMultilevel"/>
    <w:tmpl w:val="9188B6F2"/>
    <w:lvl w:ilvl="0" w:tplc="B6267634">
      <w:start w:val="1"/>
      <w:numFmt w:val="decimal"/>
      <w:lvlText w:val="%1."/>
      <w:lvlJc w:val="left"/>
      <w:pPr>
        <w:ind w:left="360" w:hanging="360"/>
      </w:pPr>
      <w:rPr>
        <w:rFonts w:ascii="Calibri" w:eastAsia="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E7015F"/>
    <w:multiLevelType w:val="hybridMultilevel"/>
    <w:tmpl w:val="91D644D6"/>
    <w:lvl w:ilvl="0" w:tplc="55E23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9506B"/>
    <w:multiLevelType w:val="hybridMultilevel"/>
    <w:tmpl w:val="A502AECE"/>
    <w:lvl w:ilvl="0" w:tplc="95406388">
      <w:start w:val="1"/>
      <w:numFmt w:val="bullet"/>
      <w:lvlText w:val=""/>
      <w:lvlJc w:val="left"/>
      <w:pPr>
        <w:ind w:left="720" w:hanging="360"/>
      </w:pPr>
      <w:rPr>
        <w:rFonts w:ascii="Symbol" w:hAnsi="Symbol" w:hint="default"/>
      </w:rPr>
    </w:lvl>
    <w:lvl w:ilvl="1" w:tplc="B96AB2C8">
      <w:start w:val="1"/>
      <w:numFmt w:val="bullet"/>
      <w:lvlText w:val="o"/>
      <w:lvlJc w:val="left"/>
      <w:pPr>
        <w:ind w:left="1440" w:hanging="360"/>
      </w:pPr>
      <w:rPr>
        <w:rFonts w:ascii="Courier New" w:hAnsi="Courier New" w:hint="default"/>
      </w:rPr>
    </w:lvl>
    <w:lvl w:ilvl="2" w:tplc="329020C6">
      <w:start w:val="1"/>
      <w:numFmt w:val="bullet"/>
      <w:lvlText w:val=""/>
      <w:lvlJc w:val="left"/>
      <w:pPr>
        <w:ind w:left="2160" w:hanging="360"/>
      </w:pPr>
      <w:rPr>
        <w:rFonts w:ascii="Wingdings" w:hAnsi="Wingdings" w:hint="default"/>
      </w:rPr>
    </w:lvl>
    <w:lvl w:ilvl="3" w:tplc="D27C6010">
      <w:start w:val="1"/>
      <w:numFmt w:val="bullet"/>
      <w:lvlText w:val=""/>
      <w:lvlJc w:val="left"/>
      <w:pPr>
        <w:ind w:left="2880" w:hanging="360"/>
      </w:pPr>
      <w:rPr>
        <w:rFonts w:ascii="Symbol" w:hAnsi="Symbol" w:hint="default"/>
      </w:rPr>
    </w:lvl>
    <w:lvl w:ilvl="4" w:tplc="D26E59D8">
      <w:start w:val="1"/>
      <w:numFmt w:val="bullet"/>
      <w:lvlText w:val="o"/>
      <w:lvlJc w:val="left"/>
      <w:pPr>
        <w:ind w:left="3600" w:hanging="360"/>
      </w:pPr>
      <w:rPr>
        <w:rFonts w:ascii="Courier New" w:hAnsi="Courier New" w:hint="default"/>
      </w:rPr>
    </w:lvl>
    <w:lvl w:ilvl="5" w:tplc="3C806C04">
      <w:start w:val="1"/>
      <w:numFmt w:val="bullet"/>
      <w:lvlText w:val=""/>
      <w:lvlJc w:val="left"/>
      <w:pPr>
        <w:ind w:left="4320" w:hanging="360"/>
      </w:pPr>
      <w:rPr>
        <w:rFonts w:ascii="Wingdings" w:hAnsi="Wingdings" w:hint="default"/>
      </w:rPr>
    </w:lvl>
    <w:lvl w:ilvl="6" w:tplc="4BB00320">
      <w:start w:val="1"/>
      <w:numFmt w:val="bullet"/>
      <w:lvlText w:val=""/>
      <w:lvlJc w:val="left"/>
      <w:pPr>
        <w:ind w:left="5040" w:hanging="360"/>
      </w:pPr>
      <w:rPr>
        <w:rFonts w:ascii="Symbol" w:hAnsi="Symbol" w:hint="default"/>
      </w:rPr>
    </w:lvl>
    <w:lvl w:ilvl="7" w:tplc="4918B3F8">
      <w:start w:val="1"/>
      <w:numFmt w:val="bullet"/>
      <w:lvlText w:val="o"/>
      <w:lvlJc w:val="left"/>
      <w:pPr>
        <w:ind w:left="5760" w:hanging="360"/>
      </w:pPr>
      <w:rPr>
        <w:rFonts w:ascii="Courier New" w:hAnsi="Courier New" w:hint="default"/>
      </w:rPr>
    </w:lvl>
    <w:lvl w:ilvl="8" w:tplc="CBE83B40">
      <w:start w:val="1"/>
      <w:numFmt w:val="bullet"/>
      <w:lvlText w:val=""/>
      <w:lvlJc w:val="left"/>
      <w:pPr>
        <w:ind w:left="6480" w:hanging="360"/>
      </w:pPr>
      <w:rPr>
        <w:rFonts w:ascii="Wingdings" w:hAnsi="Wingdings" w:hint="default"/>
      </w:rPr>
    </w:lvl>
  </w:abstractNum>
  <w:abstractNum w:abstractNumId="13" w15:restartNumberingAfterBreak="0">
    <w:nsid w:val="7BDF7449"/>
    <w:multiLevelType w:val="multilevel"/>
    <w:tmpl w:val="F9EA13A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7994740">
    <w:abstractNumId w:val="12"/>
  </w:num>
  <w:num w:numId="2" w16cid:durableId="352346859">
    <w:abstractNumId w:val="5"/>
  </w:num>
  <w:num w:numId="3" w16cid:durableId="491486605">
    <w:abstractNumId w:val="3"/>
  </w:num>
  <w:num w:numId="4" w16cid:durableId="1480686266">
    <w:abstractNumId w:val="2"/>
  </w:num>
  <w:num w:numId="5" w16cid:durableId="41176370">
    <w:abstractNumId w:val="13"/>
  </w:num>
  <w:num w:numId="6" w16cid:durableId="1656373845">
    <w:abstractNumId w:val="7"/>
  </w:num>
  <w:num w:numId="7" w16cid:durableId="1182470808">
    <w:abstractNumId w:val="10"/>
  </w:num>
  <w:num w:numId="8" w16cid:durableId="2134399655">
    <w:abstractNumId w:val="4"/>
  </w:num>
  <w:num w:numId="9" w16cid:durableId="1471046954">
    <w:abstractNumId w:val="1"/>
  </w:num>
  <w:num w:numId="10" w16cid:durableId="2109152042">
    <w:abstractNumId w:val="0"/>
  </w:num>
  <w:num w:numId="11" w16cid:durableId="1892107351">
    <w:abstractNumId w:val="6"/>
  </w:num>
  <w:num w:numId="12" w16cid:durableId="364140673">
    <w:abstractNumId w:val="11"/>
  </w:num>
  <w:num w:numId="13" w16cid:durableId="65615340">
    <w:abstractNumId w:val="9"/>
  </w:num>
  <w:num w:numId="14" w16cid:durableId="1566377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79066D"/>
    <w:rsid w:val="000039C5"/>
    <w:rsid w:val="000121E7"/>
    <w:rsid w:val="00017B69"/>
    <w:rsid w:val="00023289"/>
    <w:rsid w:val="000343D9"/>
    <w:rsid w:val="00040525"/>
    <w:rsid w:val="000413EB"/>
    <w:rsid w:val="00050811"/>
    <w:rsid w:val="0006446D"/>
    <w:rsid w:val="000719FD"/>
    <w:rsid w:val="00081286"/>
    <w:rsid w:val="0008308C"/>
    <w:rsid w:val="0008486B"/>
    <w:rsid w:val="000855F6"/>
    <w:rsid w:val="000A19CF"/>
    <w:rsid w:val="000E0593"/>
    <w:rsid w:val="000F3A1B"/>
    <w:rsid w:val="0010160F"/>
    <w:rsid w:val="00106A30"/>
    <w:rsid w:val="001151E5"/>
    <w:rsid w:val="00141566"/>
    <w:rsid w:val="0014341A"/>
    <w:rsid w:val="00152D56"/>
    <w:rsid w:val="0016379A"/>
    <w:rsid w:val="001650A1"/>
    <w:rsid w:val="00166095"/>
    <w:rsid w:val="00167183"/>
    <w:rsid w:val="001677F1"/>
    <w:rsid w:val="00171777"/>
    <w:rsid w:val="001821D5"/>
    <w:rsid w:val="001830A9"/>
    <w:rsid w:val="00190D51"/>
    <w:rsid w:val="001A3E23"/>
    <w:rsid w:val="001B7B51"/>
    <w:rsid w:val="001D2B1D"/>
    <w:rsid w:val="001E0621"/>
    <w:rsid w:val="001E6583"/>
    <w:rsid w:val="001F5689"/>
    <w:rsid w:val="002162AF"/>
    <w:rsid w:val="00220028"/>
    <w:rsid w:val="00224E75"/>
    <w:rsid w:val="002268F5"/>
    <w:rsid w:val="00230BE4"/>
    <w:rsid w:val="002438CA"/>
    <w:rsid w:val="00244B4F"/>
    <w:rsid w:val="00247E52"/>
    <w:rsid w:val="00255E0F"/>
    <w:rsid w:val="002618A5"/>
    <w:rsid w:val="00261F11"/>
    <w:rsid w:val="00271BF1"/>
    <w:rsid w:val="00281A2E"/>
    <w:rsid w:val="00297215"/>
    <w:rsid w:val="002A16A7"/>
    <w:rsid w:val="002A5229"/>
    <w:rsid w:val="002E2156"/>
    <w:rsid w:val="002E7141"/>
    <w:rsid w:val="002F7C0F"/>
    <w:rsid w:val="00302311"/>
    <w:rsid w:val="003105EA"/>
    <w:rsid w:val="00314898"/>
    <w:rsid w:val="00315755"/>
    <w:rsid w:val="00322FB3"/>
    <w:rsid w:val="003231B7"/>
    <w:rsid w:val="0032436F"/>
    <w:rsid w:val="00336156"/>
    <w:rsid w:val="00340DB5"/>
    <w:rsid w:val="00343C68"/>
    <w:rsid w:val="00347B51"/>
    <w:rsid w:val="003504D7"/>
    <w:rsid w:val="003505D1"/>
    <w:rsid w:val="00352C1B"/>
    <w:rsid w:val="00356EAC"/>
    <w:rsid w:val="00366DD3"/>
    <w:rsid w:val="00367394"/>
    <w:rsid w:val="00376572"/>
    <w:rsid w:val="00392366"/>
    <w:rsid w:val="003A1A6C"/>
    <w:rsid w:val="003B0F4E"/>
    <w:rsid w:val="003C03DE"/>
    <w:rsid w:val="003C17A5"/>
    <w:rsid w:val="003C3147"/>
    <w:rsid w:val="003D3B23"/>
    <w:rsid w:val="003E4238"/>
    <w:rsid w:val="003E7460"/>
    <w:rsid w:val="003F59F4"/>
    <w:rsid w:val="00404389"/>
    <w:rsid w:val="00405B6B"/>
    <w:rsid w:val="0040644F"/>
    <w:rsid w:val="004244CA"/>
    <w:rsid w:val="004331E2"/>
    <w:rsid w:val="004406DF"/>
    <w:rsid w:val="0045135A"/>
    <w:rsid w:val="00455C9C"/>
    <w:rsid w:val="00462E30"/>
    <w:rsid w:val="0048172C"/>
    <w:rsid w:val="004824C8"/>
    <w:rsid w:val="00484CF8"/>
    <w:rsid w:val="0048542E"/>
    <w:rsid w:val="00490132"/>
    <w:rsid w:val="004966BC"/>
    <w:rsid w:val="0049779F"/>
    <w:rsid w:val="004A1E98"/>
    <w:rsid w:val="004A245E"/>
    <w:rsid w:val="004A2D23"/>
    <w:rsid w:val="004C2C36"/>
    <w:rsid w:val="004C2E18"/>
    <w:rsid w:val="004C328F"/>
    <w:rsid w:val="004C7518"/>
    <w:rsid w:val="004F5FC7"/>
    <w:rsid w:val="005163A8"/>
    <w:rsid w:val="00522A82"/>
    <w:rsid w:val="00532208"/>
    <w:rsid w:val="00535CAD"/>
    <w:rsid w:val="00542FAD"/>
    <w:rsid w:val="00551FE5"/>
    <w:rsid w:val="0055506C"/>
    <w:rsid w:val="005676CD"/>
    <w:rsid w:val="005767EB"/>
    <w:rsid w:val="005803D5"/>
    <w:rsid w:val="00592A3D"/>
    <w:rsid w:val="00595187"/>
    <w:rsid w:val="00596886"/>
    <w:rsid w:val="005971A6"/>
    <w:rsid w:val="005A0C0C"/>
    <w:rsid w:val="005B7299"/>
    <w:rsid w:val="005C039F"/>
    <w:rsid w:val="005D1C8B"/>
    <w:rsid w:val="005E7E25"/>
    <w:rsid w:val="005F39FA"/>
    <w:rsid w:val="00606AF0"/>
    <w:rsid w:val="00617937"/>
    <w:rsid w:val="00621973"/>
    <w:rsid w:val="00624501"/>
    <w:rsid w:val="00646F13"/>
    <w:rsid w:val="00647373"/>
    <w:rsid w:val="00656B39"/>
    <w:rsid w:val="00670021"/>
    <w:rsid w:val="006739A4"/>
    <w:rsid w:val="00694F42"/>
    <w:rsid w:val="006C565A"/>
    <w:rsid w:val="006C7838"/>
    <w:rsid w:val="006F2790"/>
    <w:rsid w:val="006F7541"/>
    <w:rsid w:val="007247CF"/>
    <w:rsid w:val="007312D6"/>
    <w:rsid w:val="007557C9"/>
    <w:rsid w:val="00761115"/>
    <w:rsid w:val="0076177F"/>
    <w:rsid w:val="00776467"/>
    <w:rsid w:val="0078073A"/>
    <w:rsid w:val="00795C6D"/>
    <w:rsid w:val="007A6DA6"/>
    <w:rsid w:val="007C2CE4"/>
    <w:rsid w:val="007C3881"/>
    <w:rsid w:val="007D3C3C"/>
    <w:rsid w:val="007E1487"/>
    <w:rsid w:val="007E49EF"/>
    <w:rsid w:val="007F545E"/>
    <w:rsid w:val="00811F74"/>
    <w:rsid w:val="00812833"/>
    <w:rsid w:val="008248B2"/>
    <w:rsid w:val="0082669D"/>
    <w:rsid w:val="00836ADA"/>
    <w:rsid w:val="00843151"/>
    <w:rsid w:val="00846897"/>
    <w:rsid w:val="00855960"/>
    <w:rsid w:val="00874759"/>
    <w:rsid w:val="00895D11"/>
    <w:rsid w:val="008A073E"/>
    <w:rsid w:val="008A114B"/>
    <w:rsid w:val="008A417C"/>
    <w:rsid w:val="008B5393"/>
    <w:rsid w:val="008E4394"/>
    <w:rsid w:val="008E5E25"/>
    <w:rsid w:val="00902B67"/>
    <w:rsid w:val="0091322F"/>
    <w:rsid w:val="009315E3"/>
    <w:rsid w:val="00934D22"/>
    <w:rsid w:val="00940994"/>
    <w:rsid w:val="00957C15"/>
    <w:rsid w:val="00961D86"/>
    <w:rsid w:val="0098227D"/>
    <w:rsid w:val="0098564C"/>
    <w:rsid w:val="009913B5"/>
    <w:rsid w:val="0099160D"/>
    <w:rsid w:val="00992429"/>
    <w:rsid w:val="009963BE"/>
    <w:rsid w:val="00996869"/>
    <w:rsid w:val="00996FBE"/>
    <w:rsid w:val="009A4686"/>
    <w:rsid w:val="009A7979"/>
    <w:rsid w:val="009E1D8D"/>
    <w:rsid w:val="009E2E1D"/>
    <w:rsid w:val="009E3C5F"/>
    <w:rsid w:val="009E5E79"/>
    <w:rsid w:val="009E7460"/>
    <w:rsid w:val="009F1C5B"/>
    <w:rsid w:val="00A026E9"/>
    <w:rsid w:val="00A04E4A"/>
    <w:rsid w:val="00A05CC6"/>
    <w:rsid w:val="00A20A4B"/>
    <w:rsid w:val="00A36936"/>
    <w:rsid w:val="00A45785"/>
    <w:rsid w:val="00A61A47"/>
    <w:rsid w:val="00A75135"/>
    <w:rsid w:val="00A81ACB"/>
    <w:rsid w:val="00A866E7"/>
    <w:rsid w:val="00AA5390"/>
    <w:rsid w:val="00AB0337"/>
    <w:rsid w:val="00AB1D74"/>
    <w:rsid w:val="00AC5820"/>
    <w:rsid w:val="00AC6D98"/>
    <w:rsid w:val="00AD123D"/>
    <w:rsid w:val="00AE00D6"/>
    <w:rsid w:val="00B03622"/>
    <w:rsid w:val="00B039F6"/>
    <w:rsid w:val="00B07337"/>
    <w:rsid w:val="00B340B0"/>
    <w:rsid w:val="00B41C1E"/>
    <w:rsid w:val="00B45176"/>
    <w:rsid w:val="00B474C0"/>
    <w:rsid w:val="00B51F5F"/>
    <w:rsid w:val="00B60BA0"/>
    <w:rsid w:val="00B61D27"/>
    <w:rsid w:val="00B628CA"/>
    <w:rsid w:val="00B6582C"/>
    <w:rsid w:val="00B720BC"/>
    <w:rsid w:val="00B72865"/>
    <w:rsid w:val="00B8407E"/>
    <w:rsid w:val="00B84568"/>
    <w:rsid w:val="00B861F3"/>
    <w:rsid w:val="00B87F14"/>
    <w:rsid w:val="00BA1512"/>
    <w:rsid w:val="00BA2202"/>
    <w:rsid w:val="00BC4C17"/>
    <w:rsid w:val="00BD03A2"/>
    <w:rsid w:val="00BD29FC"/>
    <w:rsid w:val="00BD73A2"/>
    <w:rsid w:val="00BE1DD3"/>
    <w:rsid w:val="00C07BD2"/>
    <w:rsid w:val="00C106CB"/>
    <w:rsid w:val="00C12273"/>
    <w:rsid w:val="00C1398C"/>
    <w:rsid w:val="00C17805"/>
    <w:rsid w:val="00C21F1C"/>
    <w:rsid w:val="00C24E13"/>
    <w:rsid w:val="00C34A18"/>
    <w:rsid w:val="00C427F2"/>
    <w:rsid w:val="00C44B3D"/>
    <w:rsid w:val="00C57666"/>
    <w:rsid w:val="00C60BCD"/>
    <w:rsid w:val="00C63760"/>
    <w:rsid w:val="00C70A56"/>
    <w:rsid w:val="00C71AEC"/>
    <w:rsid w:val="00C71EF2"/>
    <w:rsid w:val="00C85BB8"/>
    <w:rsid w:val="00C86DF6"/>
    <w:rsid w:val="00C96E1F"/>
    <w:rsid w:val="00CB056D"/>
    <w:rsid w:val="00CB593A"/>
    <w:rsid w:val="00CC2F21"/>
    <w:rsid w:val="00CC4042"/>
    <w:rsid w:val="00CC79CA"/>
    <w:rsid w:val="00CF74FE"/>
    <w:rsid w:val="00D019F8"/>
    <w:rsid w:val="00D02763"/>
    <w:rsid w:val="00D05EB9"/>
    <w:rsid w:val="00D073C5"/>
    <w:rsid w:val="00D11359"/>
    <w:rsid w:val="00D13825"/>
    <w:rsid w:val="00D13A03"/>
    <w:rsid w:val="00D17629"/>
    <w:rsid w:val="00D272F2"/>
    <w:rsid w:val="00D372A3"/>
    <w:rsid w:val="00D419AD"/>
    <w:rsid w:val="00D5218E"/>
    <w:rsid w:val="00D57EDA"/>
    <w:rsid w:val="00D57FDB"/>
    <w:rsid w:val="00D670F4"/>
    <w:rsid w:val="00D6760E"/>
    <w:rsid w:val="00D70093"/>
    <w:rsid w:val="00D74F16"/>
    <w:rsid w:val="00D75FC6"/>
    <w:rsid w:val="00D77D51"/>
    <w:rsid w:val="00D807F9"/>
    <w:rsid w:val="00D85353"/>
    <w:rsid w:val="00D9119C"/>
    <w:rsid w:val="00D96337"/>
    <w:rsid w:val="00DB437D"/>
    <w:rsid w:val="00DB6B65"/>
    <w:rsid w:val="00DD047B"/>
    <w:rsid w:val="00DD19CC"/>
    <w:rsid w:val="00DE0AE0"/>
    <w:rsid w:val="00DE7F4B"/>
    <w:rsid w:val="00E007D1"/>
    <w:rsid w:val="00E0194C"/>
    <w:rsid w:val="00E025A8"/>
    <w:rsid w:val="00E06680"/>
    <w:rsid w:val="00E06F43"/>
    <w:rsid w:val="00E120C2"/>
    <w:rsid w:val="00E1421B"/>
    <w:rsid w:val="00E1731B"/>
    <w:rsid w:val="00E325FE"/>
    <w:rsid w:val="00E34E14"/>
    <w:rsid w:val="00E657CC"/>
    <w:rsid w:val="00E84FEB"/>
    <w:rsid w:val="00E87B0E"/>
    <w:rsid w:val="00EA7045"/>
    <w:rsid w:val="00EB66D7"/>
    <w:rsid w:val="00EC0FFD"/>
    <w:rsid w:val="00EC5FA5"/>
    <w:rsid w:val="00EC715D"/>
    <w:rsid w:val="00EE6605"/>
    <w:rsid w:val="00EF1363"/>
    <w:rsid w:val="00EF1B75"/>
    <w:rsid w:val="00F02921"/>
    <w:rsid w:val="00F1789E"/>
    <w:rsid w:val="00F22EDF"/>
    <w:rsid w:val="00F25763"/>
    <w:rsid w:val="00F31C19"/>
    <w:rsid w:val="00F44F52"/>
    <w:rsid w:val="00F6440F"/>
    <w:rsid w:val="00F65A91"/>
    <w:rsid w:val="00F935B1"/>
    <w:rsid w:val="00F94524"/>
    <w:rsid w:val="00FA56F2"/>
    <w:rsid w:val="00FA7897"/>
    <w:rsid w:val="00FB7E67"/>
    <w:rsid w:val="00FC68D7"/>
    <w:rsid w:val="00FF389C"/>
    <w:rsid w:val="029A3EE1"/>
    <w:rsid w:val="02EC072E"/>
    <w:rsid w:val="0463E601"/>
    <w:rsid w:val="05443D1D"/>
    <w:rsid w:val="081DAAF8"/>
    <w:rsid w:val="0FCF63CA"/>
    <w:rsid w:val="14B52631"/>
    <w:rsid w:val="155D60D7"/>
    <w:rsid w:val="162D4F3F"/>
    <w:rsid w:val="17AFAC5E"/>
    <w:rsid w:val="181867FB"/>
    <w:rsid w:val="1A6DC8A2"/>
    <w:rsid w:val="1C79066D"/>
    <w:rsid w:val="1CE80500"/>
    <w:rsid w:val="1F0CB0CB"/>
    <w:rsid w:val="2045E5A9"/>
    <w:rsid w:val="21CAD9C2"/>
    <w:rsid w:val="2323F75B"/>
    <w:rsid w:val="24DFAE1B"/>
    <w:rsid w:val="26799307"/>
    <w:rsid w:val="284C6407"/>
    <w:rsid w:val="29776AC3"/>
    <w:rsid w:val="2BAFF26E"/>
    <w:rsid w:val="2C839D54"/>
    <w:rsid w:val="2E5E1EB2"/>
    <w:rsid w:val="2EA435BE"/>
    <w:rsid w:val="2FE94AB9"/>
    <w:rsid w:val="3406FF6C"/>
    <w:rsid w:val="37A5E58D"/>
    <w:rsid w:val="37E94E76"/>
    <w:rsid w:val="38A45792"/>
    <w:rsid w:val="3970C630"/>
    <w:rsid w:val="3B23795D"/>
    <w:rsid w:val="3D6AB12B"/>
    <w:rsid w:val="3FFEDB84"/>
    <w:rsid w:val="43311536"/>
    <w:rsid w:val="435EEA77"/>
    <w:rsid w:val="45ABC24B"/>
    <w:rsid w:val="45C96FB8"/>
    <w:rsid w:val="475CB17E"/>
    <w:rsid w:val="47B18183"/>
    <w:rsid w:val="480DB297"/>
    <w:rsid w:val="48449EF7"/>
    <w:rsid w:val="49F6EBBB"/>
    <w:rsid w:val="4A945240"/>
    <w:rsid w:val="4BABD8E6"/>
    <w:rsid w:val="4C3022A1"/>
    <w:rsid w:val="4D394E50"/>
    <w:rsid w:val="4DD558F1"/>
    <w:rsid w:val="4F6CF1E0"/>
    <w:rsid w:val="5519D8A7"/>
    <w:rsid w:val="555899A9"/>
    <w:rsid w:val="55BB1A03"/>
    <w:rsid w:val="569A453F"/>
    <w:rsid w:val="576D5DF3"/>
    <w:rsid w:val="58F2BAC5"/>
    <w:rsid w:val="5BF14DD5"/>
    <w:rsid w:val="5C872880"/>
    <w:rsid w:val="5F2BB594"/>
    <w:rsid w:val="6185C6EE"/>
    <w:rsid w:val="62A18A91"/>
    <w:rsid w:val="65B74DB9"/>
    <w:rsid w:val="65D92B53"/>
    <w:rsid w:val="681C4FF4"/>
    <w:rsid w:val="68D018A4"/>
    <w:rsid w:val="6CF3D444"/>
    <w:rsid w:val="6F5C6EC2"/>
    <w:rsid w:val="7045F2B4"/>
    <w:rsid w:val="71824ECC"/>
    <w:rsid w:val="71AF14FD"/>
    <w:rsid w:val="72673379"/>
    <w:rsid w:val="73F3FEAA"/>
    <w:rsid w:val="740303DA"/>
    <w:rsid w:val="7427971E"/>
    <w:rsid w:val="756794BE"/>
    <w:rsid w:val="78C340ED"/>
    <w:rsid w:val="798E482A"/>
    <w:rsid w:val="79D02C3D"/>
    <w:rsid w:val="7BF4ED62"/>
    <w:rsid w:val="7C9EDB3C"/>
    <w:rsid w:val="7D447C59"/>
    <w:rsid w:val="7F1ED7F4"/>
    <w:rsid w:val="7FC39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9066D"/>
  <w15:chartTrackingRefBased/>
  <w15:docId w15:val="{657EAC98-AA62-4657-9F62-84698DB0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E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87"/>
    <w:rPr>
      <w:rFonts w:ascii="Segoe UI" w:hAnsi="Segoe UI" w:cs="Segoe UI"/>
      <w:sz w:val="18"/>
      <w:szCs w:val="18"/>
    </w:rPr>
  </w:style>
  <w:style w:type="character" w:customStyle="1" w:styleId="normaltextrun">
    <w:name w:val="normaltextrun"/>
    <w:basedOn w:val="DefaultParagraphFont"/>
    <w:rsid w:val="00C427F2"/>
  </w:style>
  <w:style w:type="character" w:customStyle="1" w:styleId="eop">
    <w:name w:val="eop"/>
    <w:basedOn w:val="DefaultParagraphFont"/>
    <w:rsid w:val="001E0621"/>
  </w:style>
  <w:style w:type="paragraph" w:styleId="Header">
    <w:name w:val="header"/>
    <w:basedOn w:val="Normal"/>
    <w:link w:val="HeaderChar"/>
    <w:uiPriority w:val="99"/>
    <w:unhideWhenUsed/>
    <w:rsid w:val="00F94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524"/>
  </w:style>
  <w:style w:type="paragraph" w:styleId="Footer">
    <w:name w:val="footer"/>
    <w:basedOn w:val="Normal"/>
    <w:link w:val="FooterChar"/>
    <w:uiPriority w:val="99"/>
    <w:unhideWhenUsed/>
    <w:rsid w:val="00F9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524"/>
  </w:style>
  <w:style w:type="character" w:styleId="CommentReference">
    <w:name w:val="annotation reference"/>
    <w:basedOn w:val="DefaultParagraphFont"/>
    <w:uiPriority w:val="99"/>
    <w:semiHidden/>
    <w:unhideWhenUsed/>
    <w:rsid w:val="003505D1"/>
    <w:rPr>
      <w:sz w:val="16"/>
      <w:szCs w:val="16"/>
    </w:rPr>
  </w:style>
  <w:style w:type="paragraph" w:styleId="CommentText">
    <w:name w:val="annotation text"/>
    <w:basedOn w:val="Normal"/>
    <w:link w:val="CommentTextChar"/>
    <w:uiPriority w:val="99"/>
    <w:unhideWhenUsed/>
    <w:rsid w:val="003505D1"/>
    <w:pPr>
      <w:spacing w:line="240" w:lineRule="auto"/>
    </w:pPr>
    <w:rPr>
      <w:sz w:val="20"/>
      <w:szCs w:val="20"/>
    </w:rPr>
  </w:style>
  <w:style w:type="character" w:customStyle="1" w:styleId="CommentTextChar">
    <w:name w:val="Comment Text Char"/>
    <w:basedOn w:val="DefaultParagraphFont"/>
    <w:link w:val="CommentText"/>
    <w:uiPriority w:val="99"/>
    <w:rsid w:val="003505D1"/>
    <w:rPr>
      <w:sz w:val="20"/>
      <w:szCs w:val="20"/>
    </w:rPr>
  </w:style>
  <w:style w:type="paragraph" w:styleId="CommentSubject">
    <w:name w:val="annotation subject"/>
    <w:basedOn w:val="CommentText"/>
    <w:next w:val="CommentText"/>
    <w:link w:val="CommentSubjectChar"/>
    <w:uiPriority w:val="99"/>
    <w:semiHidden/>
    <w:unhideWhenUsed/>
    <w:rsid w:val="003505D1"/>
    <w:rPr>
      <w:b/>
      <w:bCs/>
    </w:rPr>
  </w:style>
  <w:style w:type="character" w:customStyle="1" w:styleId="CommentSubjectChar">
    <w:name w:val="Comment Subject Char"/>
    <w:basedOn w:val="CommentTextChar"/>
    <w:link w:val="CommentSubject"/>
    <w:uiPriority w:val="99"/>
    <w:semiHidden/>
    <w:rsid w:val="003505D1"/>
    <w:rPr>
      <w:b/>
      <w:bCs/>
      <w:sz w:val="20"/>
      <w:szCs w:val="20"/>
    </w:rPr>
  </w:style>
  <w:style w:type="paragraph" w:styleId="Revision">
    <w:name w:val="Revision"/>
    <w:hidden/>
    <w:uiPriority w:val="99"/>
    <w:semiHidden/>
    <w:rsid w:val="00961D86"/>
    <w:pPr>
      <w:spacing w:after="0" w:line="240" w:lineRule="auto"/>
    </w:pPr>
  </w:style>
  <w:style w:type="paragraph" w:styleId="FootnoteText">
    <w:name w:val="footnote text"/>
    <w:basedOn w:val="Normal"/>
    <w:link w:val="FootnoteTextChar"/>
    <w:uiPriority w:val="99"/>
    <w:semiHidden/>
    <w:unhideWhenUsed/>
    <w:rsid w:val="00F02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921"/>
    <w:rPr>
      <w:sz w:val="20"/>
      <w:szCs w:val="20"/>
    </w:rPr>
  </w:style>
  <w:style w:type="character" w:styleId="FootnoteReference">
    <w:name w:val="footnote reference"/>
    <w:basedOn w:val="DefaultParagraphFont"/>
    <w:uiPriority w:val="99"/>
    <w:semiHidden/>
    <w:unhideWhenUsed/>
    <w:rsid w:val="00F02921"/>
    <w:rPr>
      <w:vertAlign w:val="superscript"/>
    </w:rPr>
  </w:style>
  <w:style w:type="paragraph" w:customStyle="1" w:styleId="paragraph">
    <w:name w:val="paragraph"/>
    <w:basedOn w:val="Normal"/>
    <w:rsid w:val="00C178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A2D23"/>
    <w:rPr>
      <w:color w:val="0563C1" w:themeColor="hyperlink"/>
      <w:u w:val="single"/>
    </w:rPr>
  </w:style>
  <w:style w:type="character" w:styleId="UnresolvedMention">
    <w:name w:val="Unresolved Mention"/>
    <w:basedOn w:val="DefaultParagraphFont"/>
    <w:uiPriority w:val="99"/>
    <w:semiHidden/>
    <w:unhideWhenUsed/>
    <w:rsid w:val="004A2D23"/>
    <w:rPr>
      <w:color w:val="605E5C"/>
      <w:shd w:val="clear" w:color="auto" w:fill="E1DFDD"/>
    </w:rPr>
  </w:style>
  <w:style w:type="paragraph" w:customStyle="1" w:styleId="pf0">
    <w:name w:val="pf0"/>
    <w:basedOn w:val="Normal"/>
    <w:rsid w:val="007C2C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C2C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8038">
      <w:bodyDiv w:val="1"/>
      <w:marLeft w:val="0"/>
      <w:marRight w:val="0"/>
      <w:marTop w:val="0"/>
      <w:marBottom w:val="0"/>
      <w:divBdr>
        <w:top w:val="none" w:sz="0" w:space="0" w:color="auto"/>
        <w:left w:val="none" w:sz="0" w:space="0" w:color="auto"/>
        <w:bottom w:val="none" w:sz="0" w:space="0" w:color="auto"/>
        <w:right w:val="none" w:sz="0" w:space="0" w:color="auto"/>
      </w:divBdr>
    </w:div>
    <w:div w:id="2144732746">
      <w:bodyDiv w:val="1"/>
      <w:marLeft w:val="0"/>
      <w:marRight w:val="0"/>
      <w:marTop w:val="0"/>
      <w:marBottom w:val="0"/>
      <w:divBdr>
        <w:top w:val="none" w:sz="0" w:space="0" w:color="auto"/>
        <w:left w:val="none" w:sz="0" w:space="0" w:color="auto"/>
        <w:bottom w:val="none" w:sz="0" w:space="0" w:color="auto"/>
        <w:right w:val="none" w:sz="0" w:space="0" w:color="auto"/>
      </w:divBdr>
      <w:divsChild>
        <w:div w:id="211112652">
          <w:marLeft w:val="0"/>
          <w:marRight w:val="0"/>
          <w:marTop w:val="0"/>
          <w:marBottom w:val="0"/>
          <w:divBdr>
            <w:top w:val="none" w:sz="0" w:space="0" w:color="auto"/>
            <w:left w:val="none" w:sz="0" w:space="0" w:color="auto"/>
            <w:bottom w:val="none" w:sz="0" w:space="0" w:color="auto"/>
            <w:right w:val="none" w:sz="0" w:space="0" w:color="auto"/>
          </w:divBdr>
          <w:divsChild>
            <w:div w:id="207110739">
              <w:marLeft w:val="0"/>
              <w:marRight w:val="0"/>
              <w:marTop w:val="0"/>
              <w:marBottom w:val="0"/>
              <w:divBdr>
                <w:top w:val="none" w:sz="0" w:space="0" w:color="auto"/>
                <w:left w:val="none" w:sz="0" w:space="0" w:color="auto"/>
                <w:bottom w:val="none" w:sz="0" w:space="0" w:color="auto"/>
                <w:right w:val="none" w:sz="0" w:space="0" w:color="auto"/>
              </w:divBdr>
            </w:div>
          </w:divsChild>
        </w:div>
        <w:div w:id="1086851936">
          <w:marLeft w:val="0"/>
          <w:marRight w:val="0"/>
          <w:marTop w:val="0"/>
          <w:marBottom w:val="0"/>
          <w:divBdr>
            <w:top w:val="none" w:sz="0" w:space="0" w:color="auto"/>
            <w:left w:val="none" w:sz="0" w:space="0" w:color="auto"/>
            <w:bottom w:val="none" w:sz="0" w:space="0" w:color="auto"/>
            <w:right w:val="none" w:sz="0" w:space="0" w:color="auto"/>
          </w:divBdr>
          <w:divsChild>
            <w:div w:id="984361285">
              <w:marLeft w:val="0"/>
              <w:marRight w:val="0"/>
              <w:marTop w:val="0"/>
              <w:marBottom w:val="0"/>
              <w:divBdr>
                <w:top w:val="none" w:sz="0" w:space="0" w:color="auto"/>
                <w:left w:val="none" w:sz="0" w:space="0" w:color="auto"/>
                <w:bottom w:val="none" w:sz="0" w:space="0" w:color="auto"/>
                <w:right w:val="none" w:sz="0" w:space="0" w:color="auto"/>
              </w:divBdr>
            </w:div>
          </w:divsChild>
        </w:div>
        <w:div w:id="1660310294">
          <w:marLeft w:val="0"/>
          <w:marRight w:val="0"/>
          <w:marTop w:val="0"/>
          <w:marBottom w:val="0"/>
          <w:divBdr>
            <w:top w:val="none" w:sz="0" w:space="0" w:color="auto"/>
            <w:left w:val="none" w:sz="0" w:space="0" w:color="auto"/>
            <w:bottom w:val="none" w:sz="0" w:space="0" w:color="auto"/>
            <w:right w:val="none" w:sz="0" w:space="0" w:color="auto"/>
          </w:divBdr>
          <w:divsChild>
            <w:div w:id="1516384689">
              <w:marLeft w:val="0"/>
              <w:marRight w:val="0"/>
              <w:marTop w:val="0"/>
              <w:marBottom w:val="0"/>
              <w:divBdr>
                <w:top w:val="none" w:sz="0" w:space="0" w:color="auto"/>
                <w:left w:val="none" w:sz="0" w:space="0" w:color="auto"/>
                <w:bottom w:val="none" w:sz="0" w:space="0" w:color="auto"/>
                <w:right w:val="none" w:sz="0" w:space="0" w:color="auto"/>
              </w:divBdr>
            </w:div>
          </w:divsChild>
        </w:div>
        <w:div w:id="1917127699">
          <w:marLeft w:val="0"/>
          <w:marRight w:val="0"/>
          <w:marTop w:val="0"/>
          <w:marBottom w:val="0"/>
          <w:divBdr>
            <w:top w:val="none" w:sz="0" w:space="0" w:color="auto"/>
            <w:left w:val="none" w:sz="0" w:space="0" w:color="auto"/>
            <w:bottom w:val="none" w:sz="0" w:space="0" w:color="auto"/>
            <w:right w:val="none" w:sz="0" w:space="0" w:color="auto"/>
          </w:divBdr>
          <w:divsChild>
            <w:div w:id="9747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0c3071070d3e4657"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E7CBB4CF96B46914B189212345B75" ma:contentTypeVersion="16" ma:contentTypeDescription="Create a new document." ma:contentTypeScope="" ma:versionID="52a10b21096bf9e18c3818349aa78a3a">
  <xsd:schema xmlns:xsd="http://www.w3.org/2001/XMLSchema" xmlns:xs="http://www.w3.org/2001/XMLSchema" xmlns:p="http://schemas.microsoft.com/office/2006/metadata/properties" xmlns:ns2="a785ad58-1d57-4f8a-aa71-77170459bd0d" xmlns:ns3="f83acf73-3e46-4192-8c02-d24af7814607" xmlns:ns4="1ac5e5f3-4286-431a-b2f6-40db626cee98" targetNamespace="http://schemas.microsoft.com/office/2006/metadata/properties" ma:root="true" ma:fieldsID="200f66b6658ff23443aa048bca23eb2b" ns2:_="" ns3:_="" ns4:_="">
    <xsd:import namespace="a785ad58-1d57-4f8a-aa71-77170459bd0d"/>
    <xsd:import namespace="f83acf73-3e46-4192-8c02-d24af7814607"/>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acf73-3e46-4192-8c02-d24af78146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d29c0b-a2d9-4f7d-ad38-0f32d5a61ce7}"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3acf73-3e46-4192-8c02-d24af7814607">
      <Terms xmlns="http://schemas.microsoft.com/office/infopath/2007/PartnerControls"/>
    </lcf76f155ced4ddcb4097134ff3c332f>
    <TaxCatchAll xmlns="1ac5e5f3-4286-431a-b2f6-40db626cee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D32B-212B-4A24-980E-E9BA8D231327}">
  <ds:schemaRefs>
    <ds:schemaRef ds:uri="http://schemas.microsoft.com/sharepoint/v3/contenttype/forms"/>
  </ds:schemaRefs>
</ds:datastoreItem>
</file>

<file path=customXml/itemProps2.xml><?xml version="1.0" encoding="utf-8"?>
<ds:datastoreItem xmlns:ds="http://schemas.openxmlformats.org/officeDocument/2006/customXml" ds:itemID="{6587AE4A-B29A-4723-8A81-C255CBD4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f83acf73-3e46-4192-8c02-d24af7814607"/>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A1B9E-C084-4935-BF6A-69CB23898E25}">
  <ds:schemaRefs>
    <ds:schemaRef ds:uri="http://schemas.microsoft.com/office/2006/metadata/properties"/>
    <ds:schemaRef ds:uri="http://schemas.microsoft.com/office/infopath/2007/PartnerControls"/>
    <ds:schemaRef ds:uri="f83acf73-3e46-4192-8c02-d24af7814607"/>
    <ds:schemaRef ds:uri="1ac5e5f3-4286-431a-b2f6-40db626cee98"/>
  </ds:schemaRefs>
</ds:datastoreItem>
</file>

<file path=customXml/itemProps4.xml><?xml version="1.0" encoding="utf-8"?>
<ds:datastoreItem xmlns:ds="http://schemas.openxmlformats.org/officeDocument/2006/customXml" ds:itemID="{3AF038F9-62DC-4ECE-881D-6F54CC51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Davey</dc:creator>
  <cp:keywords/>
  <dc:description/>
  <cp:lastModifiedBy>Hayley Carter</cp:lastModifiedBy>
  <cp:revision>8</cp:revision>
  <dcterms:created xsi:type="dcterms:W3CDTF">2023-10-25T09:21:00Z</dcterms:created>
  <dcterms:modified xsi:type="dcterms:W3CDTF">2023-10-25T10:09:00Z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0x0101006AEE7CBB4CF96B46914B189212345B75</vt:lpwstr>
  </property>
  <property fmtid="{D5CDD505-2E9C-101B-9397-08002B2CF9AE}" pid="3" name="MediaServiceImageTags">
    <vt:lpwstr/>
  </property>
</Properties>
</file>